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DE8E" w14:textId="77777777" w:rsidR="009B6B45" w:rsidRPr="00A717A0" w:rsidRDefault="001B431B">
      <w:pPr>
        <w:rPr>
          <w:b/>
        </w:rPr>
      </w:pPr>
      <w:bookmarkStart w:id="0" w:name="_GoBack"/>
      <w:bookmarkEnd w:id="0"/>
      <w:r w:rsidRPr="00A717A0">
        <w:rPr>
          <w:b/>
        </w:rPr>
        <w:t>HDN – Equality, Diversity and Inclusion</w:t>
      </w:r>
    </w:p>
    <w:p w14:paraId="78B3BDD5" w14:textId="77777777" w:rsidR="001B431B" w:rsidRDefault="001B431B"/>
    <w:p w14:paraId="228682D3" w14:textId="77777777" w:rsidR="009169FF" w:rsidRPr="00A717A0" w:rsidRDefault="00A717A0" w:rsidP="009169FF">
      <w:pPr>
        <w:rPr>
          <w:b/>
        </w:rPr>
      </w:pPr>
      <w:r w:rsidRPr="00A717A0">
        <w:rPr>
          <w:b/>
        </w:rPr>
        <w:t xml:space="preserve">Why is it Important? </w:t>
      </w:r>
      <w:r w:rsidR="009169FF" w:rsidRPr="00A717A0">
        <w:rPr>
          <w:b/>
        </w:rPr>
        <w:t>The Case for Equality, Diversity and Inclusion</w:t>
      </w:r>
    </w:p>
    <w:p w14:paraId="1D55A89A" w14:textId="77777777" w:rsidR="00A717A0" w:rsidRDefault="00A717A0" w:rsidP="009169FF">
      <w:pPr>
        <w:pStyle w:val="ListParagraph"/>
        <w:numPr>
          <w:ilvl w:val="0"/>
          <w:numId w:val="2"/>
        </w:numPr>
        <w:spacing w:after="0" w:line="240" w:lineRule="auto"/>
        <w:contextualSpacing w:val="0"/>
      </w:pPr>
      <w:r>
        <w:t>Compliance Case – legislation and regulation</w:t>
      </w:r>
    </w:p>
    <w:p w14:paraId="7A31EE83" w14:textId="77777777" w:rsidR="00A717A0" w:rsidRDefault="00A717A0" w:rsidP="009169FF">
      <w:pPr>
        <w:pStyle w:val="ListParagraph"/>
        <w:numPr>
          <w:ilvl w:val="0"/>
          <w:numId w:val="2"/>
        </w:numPr>
        <w:spacing w:after="0" w:line="240" w:lineRule="auto"/>
        <w:contextualSpacing w:val="0"/>
      </w:pPr>
      <w:r>
        <w:t>Moral Case</w:t>
      </w:r>
    </w:p>
    <w:p w14:paraId="68981E3C" w14:textId="77777777" w:rsidR="009169FF" w:rsidRDefault="00A717A0" w:rsidP="003D7425">
      <w:pPr>
        <w:pStyle w:val="ListParagraph"/>
        <w:numPr>
          <w:ilvl w:val="0"/>
          <w:numId w:val="2"/>
        </w:numPr>
        <w:spacing w:after="0" w:line="240" w:lineRule="auto"/>
        <w:contextualSpacing w:val="0"/>
      </w:pPr>
      <w:r>
        <w:t>Business Case for EDI</w:t>
      </w:r>
    </w:p>
    <w:p w14:paraId="2ECCCD5F" w14:textId="77777777" w:rsidR="009169FF" w:rsidRDefault="003D7425" w:rsidP="009169FF">
      <w:pPr>
        <w:pStyle w:val="ListParagraph"/>
        <w:numPr>
          <w:ilvl w:val="0"/>
          <w:numId w:val="2"/>
        </w:numPr>
        <w:spacing w:after="0" w:line="240" w:lineRule="auto"/>
        <w:contextualSpacing w:val="0"/>
      </w:pPr>
      <w:r>
        <w:t>Strong l</w:t>
      </w:r>
      <w:r w:rsidR="009169FF">
        <w:t xml:space="preserve">inks to corporate value and priorities – e.g. customer service, value for money, welfare reform, </w:t>
      </w:r>
      <w:r>
        <w:t>social value, corporate social responsibility</w:t>
      </w:r>
    </w:p>
    <w:p w14:paraId="01EF8CBB" w14:textId="77777777" w:rsidR="009169FF" w:rsidRDefault="009169FF" w:rsidP="009169FF"/>
    <w:p w14:paraId="5DF6A5E4" w14:textId="77777777" w:rsidR="003D7425" w:rsidRDefault="003D7425" w:rsidP="009169FF">
      <w:r>
        <w:t>[There are links and overlaps between the various cases, some research has shown that an approach that draws on more than one approach can be more effective, i.e. don’t just focus on the business case]</w:t>
      </w:r>
    </w:p>
    <w:p w14:paraId="5A47125E" w14:textId="77777777" w:rsidR="003D7425" w:rsidRDefault="003D7425" w:rsidP="00A717A0">
      <w:pPr>
        <w:rPr>
          <w:b/>
        </w:rPr>
      </w:pPr>
    </w:p>
    <w:p w14:paraId="73987843" w14:textId="77777777" w:rsidR="00A717A0" w:rsidRPr="00A717A0" w:rsidRDefault="00A717A0" w:rsidP="00A717A0">
      <w:pPr>
        <w:rPr>
          <w:b/>
        </w:rPr>
      </w:pPr>
      <w:r w:rsidRPr="00A717A0">
        <w:rPr>
          <w:b/>
        </w:rPr>
        <w:t>Compliance Case</w:t>
      </w:r>
    </w:p>
    <w:p w14:paraId="3B4A938F" w14:textId="77777777" w:rsidR="00A717A0" w:rsidRDefault="00A717A0" w:rsidP="00A717A0">
      <w:pPr>
        <w:pStyle w:val="ListParagraph"/>
        <w:numPr>
          <w:ilvl w:val="0"/>
          <w:numId w:val="1"/>
        </w:numPr>
      </w:pPr>
      <w:r>
        <w:t>HCA Consumer Standards</w:t>
      </w:r>
    </w:p>
    <w:p w14:paraId="370B9A1C" w14:textId="77777777" w:rsidR="00A717A0" w:rsidRDefault="00A717A0" w:rsidP="00A717A0">
      <w:pPr>
        <w:pStyle w:val="ListParagraph"/>
        <w:numPr>
          <w:ilvl w:val="0"/>
          <w:numId w:val="1"/>
        </w:numPr>
      </w:pPr>
      <w:r>
        <w:t>Public Sector Equality Duty</w:t>
      </w:r>
    </w:p>
    <w:p w14:paraId="5323F0BF" w14:textId="77777777" w:rsidR="00A717A0" w:rsidRDefault="00A717A0" w:rsidP="00A717A0">
      <w:pPr>
        <w:pStyle w:val="ListParagraph"/>
        <w:numPr>
          <w:ilvl w:val="0"/>
          <w:numId w:val="1"/>
        </w:numPr>
      </w:pPr>
      <w:r>
        <w:t>Equality Act 2010</w:t>
      </w:r>
    </w:p>
    <w:p w14:paraId="24D7C1A8" w14:textId="77777777" w:rsidR="00A717A0" w:rsidRDefault="00A717A0" w:rsidP="00A717A0">
      <w:pPr>
        <w:pStyle w:val="ListParagraph"/>
        <w:numPr>
          <w:ilvl w:val="0"/>
          <w:numId w:val="1"/>
        </w:numPr>
      </w:pPr>
      <w:r>
        <w:t>Human Rights Act</w:t>
      </w:r>
    </w:p>
    <w:p w14:paraId="042CFD96" w14:textId="77777777" w:rsidR="003D7425" w:rsidRDefault="003D7425" w:rsidP="00A717A0">
      <w:pPr>
        <w:rPr>
          <w:b/>
        </w:rPr>
      </w:pPr>
    </w:p>
    <w:p w14:paraId="4D0915C5" w14:textId="77777777" w:rsidR="00A717A0" w:rsidRPr="00A717A0" w:rsidRDefault="00A717A0" w:rsidP="00A717A0">
      <w:pPr>
        <w:rPr>
          <w:b/>
        </w:rPr>
      </w:pPr>
      <w:r w:rsidRPr="00A717A0">
        <w:rPr>
          <w:b/>
        </w:rPr>
        <w:t>Moral Case</w:t>
      </w:r>
    </w:p>
    <w:p w14:paraId="7094FBD5" w14:textId="77777777" w:rsidR="00A717A0" w:rsidRDefault="00D33321" w:rsidP="00D33321">
      <w:pPr>
        <w:pStyle w:val="ListParagraph"/>
        <w:numPr>
          <w:ilvl w:val="0"/>
          <w:numId w:val="1"/>
        </w:numPr>
      </w:pPr>
      <w:r>
        <w:t>It’s the right thing to do irrespective of the business case</w:t>
      </w:r>
    </w:p>
    <w:p w14:paraId="1E8E0F58" w14:textId="77777777" w:rsidR="00D33321" w:rsidRDefault="00D33321" w:rsidP="00D33321">
      <w:pPr>
        <w:pStyle w:val="ListParagraph"/>
        <w:numPr>
          <w:ilvl w:val="0"/>
          <w:numId w:val="1"/>
        </w:numPr>
      </w:pPr>
      <w:r>
        <w:t xml:space="preserve">Treating people fairly and with respect leads to a more stable </w:t>
      </w:r>
      <w:r w:rsidR="003D7425">
        <w:t xml:space="preserve">and cohesive </w:t>
      </w:r>
      <w:r>
        <w:t>society</w:t>
      </w:r>
    </w:p>
    <w:p w14:paraId="4AEF6B46" w14:textId="77777777" w:rsidR="00D33321" w:rsidRDefault="00D33321" w:rsidP="00606828">
      <w:pPr>
        <w:pStyle w:val="ListParagraph"/>
      </w:pPr>
    </w:p>
    <w:p w14:paraId="5DF34122" w14:textId="77777777" w:rsidR="00A717A0" w:rsidRPr="00A717A0" w:rsidRDefault="00A717A0" w:rsidP="00A717A0">
      <w:pPr>
        <w:rPr>
          <w:b/>
        </w:rPr>
      </w:pPr>
      <w:r w:rsidRPr="00A717A0">
        <w:rPr>
          <w:b/>
        </w:rPr>
        <w:t>Business Case</w:t>
      </w:r>
    </w:p>
    <w:p w14:paraId="581693FC" w14:textId="77777777" w:rsidR="00A717A0" w:rsidRDefault="00A717A0" w:rsidP="00A717A0">
      <w:pPr>
        <w:pStyle w:val="ListParagraph"/>
        <w:numPr>
          <w:ilvl w:val="0"/>
          <w:numId w:val="1"/>
        </w:numPr>
      </w:pPr>
      <w:r>
        <w:t>Carrot - Diverse companies perform better</w:t>
      </w:r>
    </w:p>
    <w:p w14:paraId="75381431" w14:textId="77777777" w:rsidR="003D7425" w:rsidRDefault="00A717A0" w:rsidP="00A717A0">
      <w:pPr>
        <w:pStyle w:val="ListParagraph"/>
        <w:numPr>
          <w:ilvl w:val="0"/>
          <w:numId w:val="1"/>
        </w:numPr>
      </w:pPr>
      <w:r>
        <w:t>Stick - Avoid expensive litigation</w:t>
      </w:r>
    </w:p>
    <w:p w14:paraId="036BA05A" w14:textId="77777777" w:rsidR="00A717A0" w:rsidRPr="003D7425" w:rsidRDefault="00A717A0" w:rsidP="00A717A0">
      <w:pPr>
        <w:pStyle w:val="ListParagraph"/>
        <w:numPr>
          <w:ilvl w:val="0"/>
          <w:numId w:val="1"/>
        </w:numPr>
      </w:pPr>
      <w:r w:rsidRPr="003D7425">
        <w:t xml:space="preserve">Better </w:t>
      </w:r>
      <w:r w:rsidR="00606828" w:rsidRPr="003D7425">
        <w:t xml:space="preserve">Company </w:t>
      </w:r>
      <w:r w:rsidRPr="003D7425">
        <w:t>Performance</w:t>
      </w:r>
    </w:p>
    <w:p w14:paraId="52F35C9C" w14:textId="77777777" w:rsidR="00606828" w:rsidRDefault="00606828" w:rsidP="003D7425">
      <w:pPr>
        <w:pStyle w:val="ListParagraph"/>
        <w:numPr>
          <w:ilvl w:val="1"/>
          <w:numId w:val="1"/>
        </w:numPr>
      </w:pPr>
      <w:r>
        <w:t xml:space="preserve">Attract talent from </w:t>
      </w:r>
      <w:r w:rsidR="003D7425">
        <w:t xml:space="preserve">a </w:t>
      </w:r>
      <w:r>
        <w:t>wider pool</w:t>
      </w:r>
    </w:p>
    <w:p w14:paraId="5D34A430" w14:textId="77777777" w:rsidR="00A717A0" w:rsidRDefault="00A717A0" w:rsidP="003D7425">
      <w:pPr>
        <w:pStyle w:val="ListParagraph"/>
        <w:numPr>
          <w:ilvl w:val="1"/>
          <w:numId w:val="1"/>
        </w:numPr>
      </w:pPr>
      <w:r>
        <w:t>Solutions to complex problems</w:t>
      </w:r>
    </w:p>
    <w:p w14:paraId="478BA545" w14:textId="77777777" w:rsidR="003D7425" w:rsidRDefault="003D7425" w:rsidP="003D7425">
      <w:pPr>
        <w:pStyle w:val="ListParagraph"/>
        <w:numPr>
          <w:ilvl w:val="1"/>
          <w:numId w:val="1"/>
        </w:numPr>
      </w:pPr>
      <w:r>
        <w:t>Better identification of risk</w:t>
      </w:r>
    </w:p>
    <w:p w14:paraId="53502E1E" w14:textId="77777777" w:rsidR="00A717A0" w:rsidRDefault="00A717A0" w:rsidP="003D7425">
      <w:pPr>
        <w:pStyle w:val="ListParagraph"/>
        <w:numPr>
          <w:ilvl w:val="1"/>
          <w:numId w:val="1"/>
        </w:numPr>
      </w:pPr>
      <w:r>
        <w:t>More efficient delivery of services</w:t>
      </w:r>
    </w:p>
    <w:p w14:paraId="46061DDF" w14:textId="77777777" w:rsidR="00606828" w:rsidRDefault="00606828" w:rsidP="003D7425">
      <w:pPr>
        <w:pStyle w:val="ListParagraph"/>
        <w:numPr>
          <w:ilvl w:val="1"/>
          <w:numId w:val="1"/>
        </w:numPr>
      </w:pPr>
      <w:r>
        <w:t>More engaged and productive staff</w:t>
      </w:r>
    </w:p>
    <w:p w14:paraId="73B4E035" w14:textId="77777777" w:rsidR="00606828" w:rsidRDefault="00606828" w:rsidP="003D7425">
      <w:pPr>
        <w:pStyle w:val="ListParagraph"/>
        <w:numPr>
          <w:ilvl w:val="1"/>
          <w:numId w:val="1"/>
        </w:numPr>
      </w:pPr>
      <w:r>
        <w:t>Better staff retention</w:t>
      </w:r>
    </w:p>
    <w:p w14:paraId="7D0A362E" w14:textId="77777777" w:rsidR="00A717A0" w:rsidRDefault="00A717A0" w:rsidP="00A717A0"/>
    <w:p w14:paraId="0BCD7654" w14:textId="77777777" w:rsidR="001B431B" w:rsidRPr="00606828" w:rsidRDefault="001B431B">
      <w:pPr>
        <w:rPr>
          <w:b/>
        </w:rPr>
      </w:pPr>
      <w:r w:rsidRPr="00606828">
        <w:rPr>
          <w:b/>
        </w:rPr>
        <w:t>What do you need to consider? Boards</w:t>
      </w:r>
    </w:p>
    <w:p w14:paraId="6441327B" w14:textId="77777777" w:rsidR="001B431B" w:rsidRDefault="001B431B" w:rsidP="001B431B">
      <w:pPr>
        <w:pStyle w:val="ListParagraph"/>
        <w:numPr>
          <w:ilvl w:val="0"/>
          <w:numId w:val="1"/>
        </w:numPr>
      </w:pPr>
      <w:r>
        <w:t>Diversity of the Board</w:t>
      </w:r>
      <w:r w:rsidR="009169FF">
        <w:t xml:space="preserve"> – recruitment and retention</w:t>
      </w:r>
    </w:p>
    <w:p w14:paraId="343A7AD7" w14:textId="77777777" w:rsidR="001B431B" w:rsidRDefault="001B431B" w:rsidP="001B431B">
      <w:pPr>
        <w:pStyle w:val="ListParagraph"/>
        <w:numPr>
          <w:ilvl w:val="0"/>
          <w:numId w:val="1"/>
        </w:numPr>
      </w:pPr>
      <w:r>
        <w:t>Responsibilities of the Board and individual Members</w:t>
      </w:r>
    </w:p>
    <w:p w14:paraId="428761FF" w14:textId="77777777" w:rsidR="003D7425" w:rsidRPr="003D7425" w:rsidRDefault="003D7425" w:rsidP="009169FF">
      <w:pPr>
        <w:pStyle w:val="ListParagraph"/>
        <w:numPr>
          <w:ilvl w:val="1"/>
          <w:numId w:val="1"/>
        </w:numPr>
      </w:pPr>
      <w:r>
        <w:rPr>
          <w:color w:val="000000"/>
        </w:rPr>
        <w:t xml:space="preserve">Compliance responsibilities </w:t>
      </w:r>
      <w:r>
        <w:t>(Equality Act 2010, HCA, Public Sector Equality Duty and Human Rights Act) including case law updates</w:t>
      </w:r>
    </w:p>
    <w:p w14:paraId="5EC74FF2" w14:textId="77777777" w:rsidR="009169FF" w:rsidRPr="00757CB6" w:rsidRDefault="009169FF" w:rsidP="009169FF">
      <w:pPr>
        <w:pStyle w:val="ListParagraph"/>
        <w:numPr>
          <w:ilvl w:val="1"/>
          <w:numId w:val="1"/>
        </w:numPr>
      </w:pPr>
      <w:r>
        <w:rPr>
          <w:color w:val="000000"/>
        </w:rPr>
        <w:lastRenderedPageBreak/>
        <w:t xml:space="preserve">Creating the right environment </w:t>
      </w:r>
      <w:r w:rsidR="00757CB6">
        <w:rPr>
          <w:color w:val="000000"/>
        </w:rPr>
        <w:t>to ensure all can contribute</w:t>
      </w:r>
      <w:r>
        <w:rPr>
          <w:color w:val="000000"/>
        </w:rPr>
        <w:t xml:space="preserve"> - this is partly around building confidence, but also skills of the chair, culture/behaviour of other BM's</w:t>
      </w:r>
      <w:r w:rsidR="003D7425">
        <w:rPr>
          <w:color w:val="000000"/>
        </w:rPr>
        <w:t>, reaching a critical mass, etc.</w:t>
      </w:r>
    </w:p>
    <w:p w14:paraId="1F52EEBA" w14:textId="77777777" w:rsidR="00757CB6" w:rsidRDefault="00757CB6" w:rsidP="009169FF">
      <w:pPr>
        <w:pStyle w:val="ListParagraph"/>
        <w:numPr>
          <w:ilvl w:val="1"/>
          <w:numId w:val="1"/>
        </w:numPr>
      </w:pPr>
      <w:r>
        <w:t xml:space="preserve">Ensuring information is </w:t>
      </w:r>
      <w:r w:rsidR="003D7425">
        <w:t>available</w:t>
      </w:r>
      <w:r>
        <w:t xml:space="preserve"> to make decisions – e.g. not just profile of tenants but will a decision impact on some more than others</w:t>
      </w:r>
    </w:p>
    <w:p w14:paraId="4B9D1A0E" w14:textId="77777777" w:rsidR="001B431B" w:rsidRDefault="001B431B" w:rsidP="001B431B">
      <w:pPr>
        <w:pStyle w:val="ListParagraph"/>
        <w:numPr>
          <w:ilvl w:val="0"/>
          <w:numId w:val="1"/>
        </w:numPr>
      </w:pPr>
      <w:r>
        <w:t xml:space="preserve">How to provide </w:t>
      </w:r>
      <w:r w:rsidR="00FD2F79">
        <w:t>strategic l</w:t>
      </w:r>
      <w:r>
        <w:t>eadership on equality, diversity and inclusion</w:t>
      </w:r>
    </w:p>
    <w:p w14:paraId="64FD65AC" w14:textId="77777777" w:rsidR="001B431B" w:rsidRDefault="001B431B"/>
    <w:p w14:paraId="68326879" w14:textId="77777777" w:rsidR="00A717A0" w:rsidRPr="00606828" w:rsidRDefault="00A717A0" w:rsidP="00A717A0">
      <w:pPr>
        <w:rPr>
          <w:b/>
        </w:rPr>
      </w:pPr>
      <w:r w:rsidRPr="00606828">
        <w:rPr>
          <w:b/>
        </w:rPr>
        <w:t>Getting a Diverse Board</w:t>
      </w:r>
    </w:p>
    <w:p w14:paraId="70DEE6DC" w14:textId="77777777" w:rsidR="00A717A0" w:rsidRDefault="00A717A0" w:rsidP="00A717A0">
      <w:pPr>
        <w:pStyle w:val="ListParagraph"/>
        <w:numPr>
          <w:ilvl w:val="0"/>
          <w:numId w:val="3"/>
        </w:numPr>
        <w:spacing w:after="0" w:line="240" w:lineRule="auto"/>
        <w:contextualSpacing w:val="0"/>
      </w:pPr>
      <w:r>
        <w:t>CIH Diversity 10 by 20 challenge suggests setting an aspirational target for Board /committee recruitment</w:t>
      </w:r>
    </w:p>
    <w:p w14:paraId="324B7E42" w14:textId="77777777" w:rsidR="00A717A0" w:rsidRDefault="00A717A0" w:rsidP="00A717A0">
      <w:pPr>
        <w:pStyle w:val="ListParagraph"/>
        <w:numPr>
          <w:ilvl w:val="0"/>
          <w:numId w:val="3"/>
        </w:numPr>
        <w:spacing w:after="0" w:line="240" w:lineRule="auto"/>
        <w:contextualSpacing w:val="0"/>
      </w:pPr>
      <w:r>
        <w:t>Promoting Board opportunities</w:t>
      </w:r>
    </w:p>
    <w:p w14:paraId="15377907" w14:textId="77777777" w:rsidR="00A717A0" w:rsidRDefault="00A717A0" w:rsidP="00A717A0">
      <w:pPr>
        <w:pStyle w:val="ListParagraph"/>
        <w:numPr>
          <w:ilvl w:val="0"/>
          <w:numId w:val="3"/>
        </w:numPr>
        <w:spacing w:after="0" w:line="240" w:lineRule="auto"/>
        <w:contextualSpacing w:val="0"/>
      </w:pPr>
      <w:r>
        <w:t xml:space="preserve">Recruiting and supporting (to ensure retention) a diverse range of potential Board members </w:t>
      </w:r>
    </w:p>
    <w:p w14:paraId="0C2ACD39" w14:textId="77777777" w:rsidR="00A717A0" w:rsidRDefault="00A717A0" w:rsidP="00A717A0"/>
    <w:p w14:paraId="610FC8B7" w14:textId="77777777" w:rsidR="003D7425" w:rsidRDefault="003D7425" w:rsidP="00A717A0">
      <w:pPr>
        <w:rPr>
          <w:b/>
        </w:rPr>
      </w:pPr>
    </w:p>
    <w:p w14:paraId="3593F97C" w14:textId="77777777" w:rsidR="00606828" w:rsidRPr="00606828" w:rsidRDefault="00606828" w:rsidP="00A717A0">
      <w:pPr>
        <w:rPr>
          <w:b/>
        </w:rPr>
      </w:pPr>
      <w:r w:rsidRPr="00606828">
        <w:rPr>
          <w:b/>
        </w:rPr>
        <w:t>Providing</w:t>
      </w:r>
      <w:r w:rsidR="003D7425">
        <w:rPr>
          <w:b/>
        </w:rPr>
        <w:t xml:space="preserve"> strategic </w:t>
      </w:r>
      <w:r w:rsidRPr="00606828">
        <w:rPr>
          <w:b/>
        </w:rPr>
        <w:t>leadership on EDI</w:t>
      </w:r>
    </w:p>
    <w:p w14:paraId="08D6DE32" w14:textId="77777777" w:rsidR="00606828" w:rsidRDefault="00606828" w:rsidP="00A717A0">
      <w:pPr>
        <w:pStyle w:val="ListParagraph"/>
        <w:numPr>
          <w:ilvl w:val="0"/>
          <w:numId w:val="4"/>
        </w:numPr>
      </w:pPr>
      <w:r>
        <w:t>Creating the right Board environment</w:t>
      </w:r>
    </w:p>
    <w:p w14:paraId="3616D6F7" w14:textId="77777777" w:rsidR="00A717A0" w:rsidRDefault="00A717A0" w:rsidP="00A717A0">
      <w:pPr>
        <w:pStyle w:val="ListParagraph"/>
        <w:numPr>
          <w:ilvl w:val="0"/>
          <w:numId w:val="4"/>
        </w:numPr>
        <w:spacing w:after="0" w:line="240" w:lineRule="auto"/>
        <w:contextualSpacing w:val="0"/>
      </w:pPr>
      <w:r>
        <w:t>NHF Code of Conduct talks about diversity and avoiding ‘group think’.</w:t>
      </w:r>
    </w:p>
    <w:p w14:paraId="2541A16A" w14:textId="77777777" w:rsidR="00A717A0" w:rsidRDefault="00A717A0" w:rsidP="00A717A0">
      <w:pPr>
        <w:pStyle w:val="ListParagraph"/>
        <w:numPr>
          <w:ilvl w:val="0"/>
          <w:numId w:val="4"/>
        </w:numPr>
        <w:spacing w:after="0" w:line="240" w:lineRule="auto"/>
        <w:contextualSpacing w:val="0"/>
      </w:pPr>
      <w:r>
        <w:t>Understanding the impact of Unconscious Bias</w:t>
      </w:r>
    </w:p>
    <w:p w14:paraId="61DA379F" w14:textId="77777777" w:rsidR="00A717A0" w:rsidRDefault="00A717A0" w:rsidP="00A717A0">
      <w:pPr>
        <w:pStyle w:val="ListParagraph"/>
        <w:numPr>
          <w:ilvl w:val="0"/>
          <w:numId w:val="4"/>
        </w:numPr>
        <w:spacing w:after="0" w:line="240" w:lineRule="auto"/>
        <w:contextualSpacing w:val="0"/>
      </w:pPr>
      <w:r>
        <w:t>Ensuring a diverse range of skills, experiences and views and constructive challenge within Boards</w:t>
      </w:r>
    </w:p>
    <w:p w14:paraId="0B94BFFB" w14:textId="77777777" w:rsidR="00A717A0" w:rsidRDefault="00A717A0" w:rsidP="00A717A0">
      <w:pPr>
        <w:pStyle w:val="ListParagraph"/>
        <w:numPr>
          <w:ilvl w:val="0"/>
          <w:numId w:val="4"/>
        </w:numPr>
        <w:spacing w:after="0" w:line="240" w:lineRule="auto"/>
        <w:contextualSpacing w:val="0"/>
      </w:pPr>
      <w:r>
        <w:t>How do Boards understand a diverse range of views – what mechanisms are there to ensure they understand the views/experiences of different sections of the communities they serve.</w:t>
      </w:r>
    </w:p>
    <w:p w14:paraId="6495C544" w14:textId="77777777" w:rsidR="00A717A0" w:rsidRDefault="00A717A0" w:rsidP="00A717A0">
      <w:pPr>
        <w:pStyle w:val="ListParagraph"/>
        <w:numPr>
          <w:ilvl w:val="0"/>
          <w:numId w:val="4"/>
        </w:numPr>
        <w:spacing w:after="0" w:line="240" w:lineRule="auto"/>
        <w:contextualSpacing w:val="0"/>
      </w:pPr>
      <w:r w:rsidRPr="00A717A0">
        <w:rPr>
          <w:color w:val="000000"/>
        </w:rPr>
        <w:t>Creating the right environment all Board Members</w:t>
      </w:r>
      <w:r>
        <w:rPr>
          <w:color w:val="000000"/>
        </w:rPr>
        <w:t xml:space="preserve"> are confident to contribute</w:t>
      </w:r>
    </w:p>
    <w:p w14:paraId="60BDADAC" w14:textId="77777777" w:rsidR="00A717A0" w:rsidRDefault="00A717A0" w:rsidP="00A717A0"/>
    <w:p w14:paraId="67BC95DE" w14:textId="77777777" w:rsidR="00A717A0" w:rsidRDefault="00A717A0"/>
    <w:p w14:paraId="48CE658D" w14:textId="77777777" w:rsidR="001B431B" w:rsidRPr="003D7425" w:rsidRDefault="001B431B">
      <w:pPr>
        <w:rPr>
          <w:b/>
        </w:rPr>
      </w:pPr>
      <w:r w:rsidRPr="003D7425">
        <w:rPr>
          <w:b/>
        </w:rPr>
        <w:t>Unconscious Bias</w:t>
      </w:r>
    </w:p>
    <w:p w14:paraId="311AAE63" w14:textId="77777777" w:rsidR="001B431B" w:rsidRDefault="001B431B"/>
    <w:p w14:paraId="67A0CF79" w14:textId="77777777" w:rsidR="001B431B" w:rsidRDefault="001B431B"/>
    <w:p w14:paraId="1F44480D" w14:textId="77777777" w:rsidR="001B431B" w:rsidRPr="003D7425" w:rsidRDefault="001B431B">
      <w:pPr>
        <w:rPr>
          <w:b/>
        </w:rPr>
      </w:pPr>
      <w:r w:rsidRPr="003D7425">
        <w:rPr>
          <w:b/>
        </w:rPr>
        <w:t>Inclusive Leadership</w:t>
      </w:r>
    </w:p>
    <w:p w14:paraId="198CCE33" w14:textId="77777777" w:rsidR="001B431B" w:rsidRDefault="001B431B"/>
    <w:p w14:paraId="49CF4C33" w14:textId="77777777" w:rsidR="001B431B" w:rsidRDefault="001B431B"/>
    <w:p w14:paraId="30AB19EB" w14:textId="77777777" w:rsidR="001B431B" w:rsidRDefault="001B431B"/>
    <w:p w14:paraId="2F0E1A99" w14:textId="77777777" w:rsidR="001B431B" w:rsidRDefault="001B431B"/>
    <w:sectPr w:rsidR="001B4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47EFB"/>
    <w:multiLevelType w:val="hybridMultilevel"/>
    <w:tmpl w:val="A97EC5C0"/>
    <w:lvl w:ilvl="0" w:tplc="57FCBE0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14326"/>
    <w:multiLevelType w:val="hybridMultilevel"/>
    <w:tmpl w:val="BC6AA98C"/>
    <w:lvl w:ilvl="0" w:tplc="03EE040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E6731C"/>
    <w:multiLevelType w:val="hybridMultilevel"/>
    <w:tmpl w:val="AD38BE0E"/>
    <w:lvl w:ilvl="0" w:tplc="162E21E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0B51F5E"/>
    <w:multiLevelType w:val="hybridMultilevel"/>
    <w:tmpl w:val="93E65AB4"/>
    <w:lvl w:ilvl="0" w:tplc="1746252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1B"/>
    <w:rsid w:val="001B431B"/>
    <w:rsid w:val="003D7425"/>
    <w:rsid w:val="004A0C9B"/>
    <w:rsid w:val="00606828"/>
    <w:rsid w:val="00757CB6"/>
    <w:rsid w:val="009169FF"/>
    <w:rsid w:val="009C6C4A"/>
    <w:rsid w:val="00A717A0"/>
    <w:rsid w:val="00D33321"/>
    <w:rsid w:val="00E604CF"/>
    <w:rsid w:val="00FD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4E39"/>
  <w15:chartTrackingRefBased/>
  <w15:docId w15:val="{E5B70F3F-B810-4672-8159-2B476E16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31B"/>
    <w:pPr>
      <w:ind w:left="720"/>
      <w:contextualSpacing/>
    </w:pPr>
  </w:style>
  <w:style w:type="paragraph" w:styleId="NormalWeb">
    <w:name w:val="Normal (Web)"/>
    <w:basedOn w:val="Normal"/>
    <w:uiPriority w:val="99"/>
    <w:semiHidden/>
    <w:unhideWhenUsed/>
    <w:rsid w:val="009169F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5909">
      <w:bodyDiv w:val="1"/>
      <w:marLeft w:val="0"/>
      <w:marRight w:val="0"/>
      <w:marTop w:val="0"/>
      <w:marBottom w:val="0"/>
      <w:divBdr>
        <w:top w:val="none" w:sz="0" w:space="0" w:color="auto"/>
        <w:left w:val="none" w:sz="0" w:space="0" w:color="auto"/>
        <w:bottom w:val="none" w:sz="0" w:space="0" w:color="auto"/>
        <w:right w:val="none" w:sz="0" w:space="0" w:color="auto"/>
      </w:divBdr>
    </w:div>
    <w:div w:id="13295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D8469CBE57A459CB6DD0C382948B5" ma:contentTypeVersion="13" ma:contentTypeDescription="Create a new document." ma:contentTypeScope="" ma:versionID="5d0279ca5065a7f26febb354e214f1dc">
  <xsd:schema xmlns:xsd="http://www.w3.org/2001/XMLSchema" xmlns:xs="http://www.w3.org/2001/XMLSchema" xmlns:p="http://schemas.microsoft.com/office/2006/metadata/properties" xmlns:ns2="11cf9fb4-8ef3-4232-8e3d-92a910efd01b" xmlns:ns3="0f7088d2-0351-4312-86f9-bb7557d72d6b" targetNamespace="http://schemas.microsoft.com/office/2006/metadata/properties" ma:root="true" ma:fieldsID="164636f354c15e8ee0ca1aa34d7b3398" ns2:_="" ns3:_="">
    <xsd:import namespace="11cf9fb4-8ef3-4232-8e3d-92a910efd01b"/>
    <xsd:import namespace="0f7088d2-0351-4312-86f9-bb7557d72d6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f9fb4-8ef3-4232-8e3d-92a910efd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7088d2-0351-4312-86f9-bb7557d72d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B0F2F-4D94-43D2-8B78-256A3138B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643F3E-7BCE-4005-8A4F-DF68A3C6FB75}">
  <ds:schemaRefs>
    <ds:schemaRef ds:uri="http://schemas.microsoft.com/sharepoint/v3/contenttype/forms"/>
  </ds:schemaRefs>
</ds:datastoreItem>
</file>

<file path=customXml/itemProps3.xml><?xml version="1.0" encoding="utf-8"?>
<ds:datastoreItem xmlns:ds="http://schemas.openxmlformats.org/officeDocument/2006/customXml" ds:itemID="{A21D426E-1285-40BA-9461-2D0DAB5D0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f9fb4-8ef3-4232-8e3d-92a910efd01b"/>
    <ds:schemaRef ds:uri="0f7088d2-0351-4312-86f9-bb7557d72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Petrie</dc:creator>
  <cp:keywords/>
  <dc:description/>
  <cp:lastModifiedBy>Sioux Breeze-Derriga</cp:lastModifiedBy>
  <cp:revision>2</cp:revision>
  <dcterms:created xsi:type="dcterms:W3CDTF">2019-11-22T09:08:00Z</dcterms:created>
  <dcterms:modified xsi:type="dcterms:W3CDTF">2019-11-22T09:08:00Z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0x010100CE2D8469CBE57A459CB6DD0C382948B5</vt:lpwstr>
  </property>
</Properties>
</file>