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BADF1" w14:textId="09CA9187" w:rsidR="00335F1E" w:rsidRDefault="00335F1E" w:rsidP="00335F1E">
      <w:pPr>
        <w:jc w:val="right"/>
        <w:rPr>
          <w:b/>
          <w:sz w:val="28"/>
          <w:szCs w:val="28"/>
        </w:rPr>
      </w:pPr>
      <w:bookmarkStart w:id="0" w:name="_GoBack"/>
      <w:bookmarkEnd w:id="0"/>
    </w:p>
    <w:p w14:paraId="6E5CCD77" w14:textId="77777777" w:rsidR="008C303F" w:rsidRPr="00335F1E" w:rsidRDefault="00335F1E">
      <w:pPr>
        <w:rPr>
          <w:b/>
          <w:sz w:val="28"/>
          <w:szCs w:val="28"/>
        </w:rPr>
      </w:pPr>
      <w:r w:rsidRPr="00335F1E">
        <w:rPr>
          <w:b/>
          <w:sz w:val="28"/>
          <w:szCs w:val="28"/>
        </w:rPr>
        <w:t>Inclusive Leadership Programme</w:t>
      </w:r>
    </w:p>
    <w:p w14:paraId="14B9A667" w14:textId="77777777" w:rsidR="007933EF" w:rsidRDefault="007933EF" w:rsidP="00335F1E">
      <w:pPr>
        <w:rPr>
          <w:b/>
          <w:bCs/>
        </w:rPr>
      </w:pPr>
    </w:p>
    <w:p w14:paraId="4F8E60D4" w14:textId="7F112E66" w:rsidR="007933EF" w:rsidRPr="00262962" w:rsidRDefault="007933EF" w:rsidP="00335F1E">
      <w:pPr>
        <w:rPr>
          <w:b/>
          <w:bCs/>
        </w:rPr>
      </w:pPr>
      <w:r w:rsidRPr="00262962">
        <w:rPr>
          <w:b/>
          <w:bCs/>
        </w:rPr>
        <w:t>Proposal</w:t>
      </w:r>
      <w:r w:rsidR="00262962">
        <w:rPr>
          <w:b/>
          <w:bCs/>
        </w:rPr>
        <w:t>:</w:t>
      </w:r>
    </w:p>
    <w:p w14:paraId="2425957C" w14:textId="4A4EA4A2" w:rsidR="007933EF" w:rsidRPr="007933EF" w:rsidRDefault="007933EF" w:rsidP="00335F1E">
      <w:pPr>
        <w:rPr>
          <w:bCs/>
        </w:rPr>
      </w:pPr>
      <w:r>
        <w:rPr>
          <w:bCs/>
        </w:rPr>
        <w:t xml:space="preserve">To deliver a programme </w:t>
      </w:r>
      <w:r w:rsidR="00262962">
        <w:rPr>
          <w:bCs/>
        </w:rPr>
        <w:t>focused on developing great leaders and role models for diversity in Sport Wales.  Through this the Leadership Team will:</w:t>
      </w:r>
    </w:p>
    <w:p w14:paraId="3DA2A94C" w14:textId="41137102" w:rsidR="00262962" w:rsidRPr="00335F1E" w:rsidRDefault="00262962" w:rsidP="00262962">
      <w:pPr>
        <w:numPr>
          <w:ilvl w:val="0"/>
          <w:numId w:val="10"/>
        </w:numPr>
      </w:pPr>
      <w:r>
        <w:t>A</w:t>
      </w:r>
      <w:r w:rsidRPr="00335F1E">
        <w:t xml:space="preserve">pply a people centred inclusive leadership approach. </w:t>
      </w:r>
    </w:p>
    <w:p w14:paraId="24459DBB" w14:textId="00E27063" w:rsidR="00262962" w:rsidRPr="00335F1E" w:rsidRDefault="00262962" w:rsidP="00262962">
      <w:pPr>
        <w:numPr>
          <w:ilvl w:val="0"/>
          <w:numId w:val="10"/>
        </w:numPr>
      </w:pPr>
      <w:r>
        <w:t>L</w:t>
      </w:r>
      <w:r w:rsidRPr="00335F1E">
        <w:t>ead a shared vision for diversity across Sport Wales.</w:t>
      </w:r>
    </w:p>
    <w:p w14:paraId="73102BDB" w14:textId="77777777" w:rsidR="00262962" w:rsidRDefault="00262962" w:rsidP="00262962">
      <w:pPr>
        <w:numPr>
          <w:ilvl w:val="0"/>
          <w:numId w:val="10"/>
        </w:numPr>
      </w:pPr>
      <w:r w:rsidRPr="00335F1E">
        <w:t>A strong, cohesive leadership team</w:t>
      </w:r>
    </w:p>
    <w:p w14:paraId="0152D9B5" w14:textId="672E31B4" w:rsidR="00262962" w:rsidRDefault="00262962" w:rsidP="00262962">
      <w:r>
        <w:t xml:space="preserve">This programme will include all those </w:t>
      </w:r>
      <w:r w:rsidR="00BF75B0">
        <w:t xml:space="preserve">on </w:t>
      </w:r>
      <w:r>
        <w:t xml:space="preserve">the Leadership Team.   The programme will consist of 5 half </w:t>
      </w:r>
      <w:proofErr w:type="gramStart"/>
      <w:r>
        <w:t>day</w:t>
      </w:r>
      <w:proofErr w:type="gramEnd"/>
      <w:r>
        <w:t xml:space="preserve"> sessions spread over 18 months.</w:t>
      </w:r>
    </w:p>
    <w:p w14:paraId="5CBD94BD" w14:textId="5B5D8967" w:rsidR="00C724FE" w:rsidRDefault="00C724FE" w:rsidP="00262962">
      <w:r>
        <w:t>These outcomes contribute to Sport Wales successfully embedding equality (SW framework for embedding equality).</w:t>
      </w:r>
    </w:p>
    <w:p w14:paraId="2C896BF1" w14:textId="7690A79D" w:rsidR="007933EF" w:rsidRDefault="007933EF" w:rsidP="00335F1E">
      <w:pPr>
        <w:rPr>
          <w:b/>
          <w:bCs/>
        </w:rPr>
      </w:pPr>
      <w:r>
        <w:rPr>
          <w:b/>
          <w:bCs/>
        </w:rPr>
        <w:t>Context:</w:t>
      </w:r>
    </w:p>
    <w:p w14:paraId="67617EF2" w14:textId="3816BF40" w:rsidR="00262962" w:rsidRPr="00262962" w:rsidRDefault="00262962" w:rsidP="00335F1E">
      <w:pPr>
        <w:rPr>
          <w:bCs/>
        </w:rPr>
      </w:pPr>
      <w:r w:rsidRPr="00262962">
        <w:rPr>
          <w:bCs/>
        </w:rPr>
        <w:t xml:space="preserve">The need for this programme has been </w:t>
      </w:r>
      <w:r>
        <w:rPr>
          <w:bCs/>
        </w:rPr>
        <w:t>identified in the following areas:</w:t>
      </w:r>
      <w:r w:rsidRPr="00262962">
        <w:rPr>
          <w:bCs/>
        </w:rPr>
        <w:t xml:space="preserve"> </w:t>
      </w:r>
    </w:p>
    <w:p w14:paraId="267B2833" w14:textId="77777777" w:rsidR="007933EF" w:rsidRPr="007933EF" w:rsidRDefault="007933EF" w:rsidP="00335F1E">
      <w:pPr>
        <w:rPr>
          <w:bCs/>
          <w:u w:val="single"/>
        </w:rPr>
      </w:pPr>
      <w:r w:rsidRPr="007933EF">
        <w:rPr>
          <w:bCs/>
          <w:u w:val="single"/>
        </w:rPr>
        <w:t>Strategic Equality Plan</w:t>
      </w:r>
    </w:p>
    <w:p w14:paraId="1F3A65E1" w14:textId="5DC1F13C" w:rsidR="00FB5967" w:rsidRDefault="007933EF" w:rsidP="00335F1E">
      <w:pPr>
        <w:rPr>
          <w:bCs/>
        </w:rPr>
      </w:pPr>
      <w:r>
        <w:rPr>
          <w:bCs/>
        </w:rPr>
        <w:t xml:space="preserve">The internal aim of the Sport Wales strategic equality plan is to create a culture in Sport Wales that recognises and responds to individual needs (equality objective 11).   </w:t>
      </w:r>
    </w:p>
    <w:p w14:paraId="6667CE51" w14:textId="698B589E" w:rsidR="007933EF" w:rsidRPr="007933EF" w:rsidRDefault="007933EF" w:rsidP="00335F1E">
      <w:pPr>
        <w:rPr>
          <w:rFonts w:ascii="Calibri" w:hAnsi="Calibri"/>
          <w:color w:val="000000"/>
          <w:u w:val="single"/>
        </w:rPr>
      </w:pPr>
      <w:r w:rsidRPr="007933EF">
        <w:rPr>
          <w:rFonts w:ascii="Calibri" w:hAnsi="Calibri"/>
          <w:color w:val="000000"/>
          <w:u w:val="single"/>
        </w:rPr>
        <w:t>People Strategy</w:t>
      </w:r>
    </w:p>
    <w:p w14:paraId="3762EF83" w14:textId="34E56BF9" w:rsidR="007933EF" w:rsidRDefault="007933EF" w:rsidP="00335F1E">
      <w:pPr>
        <w:rPr>
          <w:rFonts w:ascii="Calibri" w:hAnsi="Calibri"/>
          <w:color w:val="000000"/>
        </w:rPr>
      </w:pPr>
      <w:r>
        <w:rPr>
          <w:rFonts w:ascii="Calibri" w:hAnsi="Calibri"/>
          <w:color w:val="000000"/>
        </w:rPr>
        <w:t>Implement a Strategic Equality Plan that represents high performance (ref 5.3)</w:t>
      </w:r>
    </w:p>
    <w:p w14:paraId="534245B7" w14:textId="77777777" w:rsidR="00262962" w:rsidRDefault="00262962" w:rsidP="00262962">
      <w:pPr>
        <w:rPr>
          <w:rFonts w:ascii="Calibri" w:hAnsi="Calibri"/>
          <w:color w:val="000000"/>
          <w:u w:val="single"/>
        </w:rPr>
      </w:pPr>
      <w:r>
        <w:rPr>
          <w:rFonts w:ascii="Calibri" w:hAnsi="Calibri"/>
          <w:color w:val="000000"/>
          <w:u w:val="single"/>
        </w:rPr>
        <w:t>Investors in People</w:t>
      </w:r>
    </w:p>
    <w:p w14:paraId="1126DACD" w14:textId="0D6CAE67" w:rsidR="00262962" w:rsidRDefault="00262962" w:rsidP="00335F1E">
      <w:pPr>
        <w:rPr>
          <w:rFonts w:ascii="Calibri" w:hAnsi="Calibri"/>
          <w:color w:val="000000"/>
        </w:rPr>
      </w:pPr>
      <w:r w:rsidRPr="00C235CB">
        <w:rPr>
          <w:sz w:val="23"/>
          <w:szCs w:val="23"/>
        </w:rPr>
        <w:t>Raise emotional intelligence amongst Leaders, as identified in the Investors in People outcome report -</w:t>
      </w:r>
      <w:r w:rsidRPr="00C235CB">
        <w:rPr>
          <w:i/>
          <w:sz w:val="23"/>
          <w:szCs w:val="23"/>
        </w:rPr>
        <w:t xml:space="preserve"> ‘The Board and Directors are keen to focus on people first, to raise emotional intelligence</w:t>
      </w:r>
      <w:r>
        <w:rPr>
          <w:i/>
          <w:sz w:val="23"/>
          <w:szCs w:val="23"/>
        </w:rPr>
        <w:t>…</w:t>
      </w:r>
      <w:r w:rsidRPr="00C235CB">
        <w:rPr>
          <w:i/>
          <w:sz w:val="23"/>
          <w:szCs w:val="23"/>
        </w:rPr>
        <w:t>’</w:t>
      </w:r>
    </w:p>
    <w:p w14:paraId="24AED898" w14:textId="2F9BE85D" w:rsidR="00262962" w:rsidRDefault="007933EF" w:rsidP="00262962">
      <w:r>
        <w:rPr>
          <w:rFonts w:ascii="Calibri" w:hAnsi="Calibri"/>
          <w:color w:val="000000"/>
          <w:u w:val="single"/>
        </w:rPr>
        <w:t>Equality Standard Recommendations</w:t>
      </w:r>
    </w:p>
    <w:p w14:paraId="62B817A2" w14:textId="74A1D264"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Continue to develop staff engagement and understanding of equality so that it becomes embedded into the culture of the organisation </w:t>
      </w:r>
    </w:p>
    <w:p w14:paraId="4B6F8894" w14:textId="7B9F853A"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Inclusion of equality behaviours into performance reviews </w:t>
      </w:r>
    </w:p>
    <w:p w14:paraId="10D770BB" w14:textId="37D7C9F9"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Ensuring that the outcomes from </w:t>
      </w:r>
      <w:proofErr w:type="spellStart"/>
      <w:r>
        <w:rPr>
          <w:rFonts w:ascii="Calibri" w:hAnsi="Calibri" w:cs="Calibri"/>
          <w:sz w:val="22"/>
          <w:szCs w:val="22"/>
        </w:rPr>
        <w:t>EqIA’s</w:t>
      </w:r>
      <w:proofErr w:type="spellEnd"/>
      <w:r>
        <w:rPr>
          <w:rFonts w:ascii="Calibri" w:hAnsi="Calibri" w:cs="Calibri"/>
          <w:sz w:val="22"/>
          <w:szCs w:val="22"/>
        </w:rPr>
        <w:t xml:space="preserve"> are communicated regularly to all staff </w:t>
      </w:r>
    </w:p>
    <w:p w14:paraId="340C7D0B" w14:textId="0AAA8774"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Enabling feedback from </w:t>
      </w:r>
      <w:proofErr w:type="spellStart"/>
      <w:r>
        <w:rPr>
          <w:rFonts w:ascii="Calibri" w:hAnsi="Calibri" w:cs="Calibri"/>
          <w:sz w:val="22"/>
          <w:szCs w:val="22"/>
        </w:rPr>
        <w:t>EqIA’s</w:t>
      </w:r>
      <w:proofErr w:type="spellEnd"/>
      <w:r>
        <w:rPr>
          <w:rFonts w:ascii="Calibri" w:hAnsi="Calibri" w:cs="Calibri"/>
          <w:sz w:val="22"/>
          <w:szCs w:val="22"/>
        </w:rPr>
        <w:t xml:space="preserve"> completed by Calls to Action projects and other funded programmes to be communicated internally and to help shape future investment decisions </w:t>
      </w:r>
    </w:p>
    <w:p w14:paraId="5E25D0EE" w14:textId="6A0CE716"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Increasing the diversity of the workforce at all levels of the organisation </w:t>
      </w:r>
    </w:p>
    <w:p w14:paraId="6BCD34AB" w14:textId="7CEEE21C"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Working collaboratively with external partners, including NGB’s, to address underrepresentation within the workforces </w:t>
      </w:r>
    </w:p>
    <w:p w14:paraId="0B21318A" w14:textId="77777777"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Continuing to address the diversity of the Board </w:t>
      </w:r>
    </w:p>
    <w:p w14:paraId="1F1C0740" w14:textId="13763594"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lastRenderedPageBreak/>
        <w:t xml:space="preserve">Considering what and how to increase the diversity of performance coaches and support staff </w:t>
      </w:r>
    </w:p>
    <w:p w14:paraId="114EE072" w14:textId="4000C931" w:rsidR="00262962" w:rsidRDefault="00262962" w:rsidP="00262962">
      <w:pPr>
        <w:pStyle w:val="Default"/>
        <w:numPr>
          <w:ilvl w:val="0"/>
          <w:numId w:val="9"/>
        </w:numPr>
        <w:spacing w:after="30"/>
        <w:rPr>
          <w:rFonts w:ascii="Calibri" w:hAnsi="Calibri" w:cs="Calibri"/>
          <w:sz w:val="22"/>
          <w:szCs w:val="22"/>
        </w:rPr>
      </w:pPr>
      <w:r>
        <w:rPr>
          <w:rFonts w:ascii="Calibri" w:hAnsi="Calibri" w:cs="Calibri"/>
          <w:sz w:val="22"/>
          <w:szCs w:val="22"/>
        </w:rPr>
        <w:t xml:space="preserve">Ensuring that the diversity of elite athletes addresses underrepresentation and that role models are identified and promoted </w:t>
      </w:r>
    </w:p>
    <w:p w14:paraId="1A051FC0" w14:textId="3A7F5D60" w:rsidR="00262962" w:rsidRDefault="00262962" w:rsidP="00262962">
      <w:pPr>
        <w:pStyle w:val="Default"/>
        <w:numPr>
          <w:ilvl w:val="0"/>
          <w:numId w:val="9"/>
        </w:numPr>
        <w:rPr>
          <w:rFonts w:ascii="Calibri" w:hAnsi="Calibri" w:cs="Calibri"/>
          <w:sz w:val="22"/>
          <w:szCs w:val="22"/>
        </w:rPr>
      </w:pPr>
      <w:r>
        <w:rPr>
          <w:rFonts w:ascii="Calibri" w:hAnsi="Calibri" w:cs="Calibri"/>
          <w:sz w:val="22"/>
          <w:szCs w:val="22"/>
        </w:rPr>
        <w:t xml:space="preserve">Ensuring that NGB’s, as possibly Sport Wales biggest ally, and clearly informed in relation to Sport Wales positive action schemes, so that they too can contribute to achieving greater diversity across all sport. This needs to be </w:t>
      </w:r>
    </w:p>
    <w:p w14:paraId="29B3910B" w14:textId="77777777" w:rsidR="007933EF" w:rsidRPr="007933EF" w:rsidRDefault="007933EF" w:rsidP="00335F1E">
      <w:pPr>
        <w:rPr>
          <w:rFonts w:ascii="Calibri" w:hAnsi="Calibri"/>
          <w:color w:val="000000"/>
          <w:u w:val="single"/>
        </w:rPr>
      </w:pPr>
    </w:p>
    <w:p w14:paraId="6D4A3925" w14:textId="77777777" w:rsidR="00335F1E" w:rsidRDefault="00D07EAB">
      <w:r w:rsidRPr="00D07EAB">
        <w:rPr>
          <w:b/>
        </w:rPr>
        <w:t>Content</w:t>
      </w:r>
      <w:r>
        <w:t>:</w:t>
      </w:r>
    </w:p>
    <w:p w14:paraId="537F2D03" w14:textId="004196C8" w:rsidR="00335F1E" w:rsidRDefault="006E2858">
      <w:r>
        <w:rPr>
          <w:noProof/>
          <w:lang w:eastAsia="en-GB"/>
        </w:rPr>
        <w:drawing>
          <wp:inline distT="0" distB="0" distL="0" distR="0" wp14:anchorId="5998C3FB" wp14:editId="59AF8B2D">
            <wp:extent cx="1419225" cy="418665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210" cy="4248562"/>
                    </a:xfrm>
                    <a:prstGeom prst="rect">
                      <a:avLst/>
                    </a:prstGeom>
                    <a:noFill/>
                  </pic:spPr>
                </pic:pic>
              </a:graphicData>
            </a:graphic>
          </wp:inline>
        </w:drawing>
      </w:r>
      <w:r>
        <w:rPr>
          <w:noProof/>
          <w:lang w:eastAsia="en-GB"/>
        </w:rPr>
        <w:drawing>
          <wp:inline distT="0" distB="0" distL="0" distR="0" wp14:anchorId="4D38B798" wp14:editId="31294155">
            <wp:extent cx="1093672" cy="3872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0351" cy="3895878"/>
                    </a:xfrm>
                    <a:prstGeom prst="rect">
                      <a:avLst/>
                    </a:prstGeom>
                    <a:noFill/>
                  </pic:spPr>
                </pic:pic>
              </a:graphicData>
            </a:graphic>
          </wp:inline>
        </w:drawing>
      </w:r>
      <w:r w:rsidR="00644B6C">
        <w:rPr>
          <w:noProof/>
          <w:lang w:eastAsia="en-GB"/>
        </w:rPr>
        <w:drawing>
          <wp:inline distT="0" distB="0" distL="0" distR="0" wp14:anchorId="1915CF59" wp14:editId="6F42179F">
            <wp:extent cx="1114425" cy="3341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376" cy="3380498"/>
                    </a:xfrm>
                    <a:prstGeom prst="rect">
                      <a:avLst/>
                    </a:prstGeom>
                    <a:noFill/>
                  </pic:spPr>
                </pic:pic>
              </a:graphicData>
            </a:graphic>
          </wp:inline>
        </w:drawing>
      </w:r>
      <w:r w:rsidR="00644B6C">
        <w:rPr>
          <w:noProof/>
          <w:lang w:eastAsia="en-GB"/>
        </w:rPr>
        <w:drawing>
          <wp:inline distT="0" distB="0" distL="0" distR="0" wp14:anchorId="0F6511CE" wp14:editId="3368B81F">
            <wp:extent cx="990600" cy="2998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455" cy="3016193"/>
                    </a:xfrm>
                    <a:prstGeom prst="rect">
                      <a:avLst/>
                    </a:prstGeom>
                    <a:noFill/>
                  </pic:spPr>
                </pic:pic>
              </a:graphicData>
            </a:graphic>
          </wp:inline>
        </w:drawing>
      </w:r>
      <w:r w:rsidR="00644B6C">
        <w:rPr>
          <w:noProof/>
          <w:lang w:eastAsia="en-GB"/>
        </w:rPr>
        <w:drawing>
          <wp:inline distT="0" distB="0" distL="0" distR="0" wp14:anchorId="536C3E26" wp14:editId="7A991D2E">
            <wp:extent cx="1009650" cy="266154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419" cy="2674121"/>
                    </a:xfrm>
                    <a:prstGeom prst="rect">
                      <a:avLst/>
                    </a:prstGeom>
                    <a:noFill/>
                  </pic:spPr>
                </pic:pic>
              </a:graphicData>
            </a:graphic>
          </wp:inline>
        </w:drawing>
      </w:r>
    </w:p>
    <w:p w14:paraId="482CB1B2" w14:textId="5DC41F85" w:rsidR="006E2858" w:rsidRDefault="006E2858">
      <w:r>
        <w:rPr>
          <w:noProof/>
          <w:lang w:eastAsia="en-GB"/>
        </w:rPr>
        <w:lastRenderedPageBreak/>
        <w:drawing>
          <wp:inline distT="0" distB="0" distL="0" distR="0" wp14:anchorId="26C52B4A" wp14:editId="690F6E4E">
            <wp:extent cx="1083108" cy="36271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89" cy="3677288"/>
                    </a:xfrm>
                    <a:prstGeom prst="rect">
                      <a:avLst/>
                    </a:prstGeom>
                    <a:noFill/>
                  </pic:spPr>
                </pic:pic>
              </a:graphicData>
            </a:graphic>
          </wp:inline>
        </w:drawing>
      </w:r>
      <w:r>
        <w:rPr>
          <w:noProof/>
          <w:lang w:eastAsia="en-GB"/>
        </w:rPr>
        <w:drawing>
          <wp:inline distT="0" distB="0" distL="0" distR="0" wp14:anchorId="60F20A11" wp14:editId="02EB6695">
            <wp:extent cx="1085850" cy="363630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321" cy="3661322"/>
                    </a:xfrm>
                    <a:prstGeom prst="rect">
                      <a:avLst/>
                    </a:prstGeom>
                    <a:noFill/>
                  </pic:spPr>
                </pic:pic>
              </a:graphicData>
            </a:graphic>
          </wp:inline>
        </w:drawing>
      </w:r>
      <w:r>
        <w:rPr>
          <w:noProof/>
          <w:lang w:eastAsia="en-GB"/>
        </w:rPr>
        <w:drawing>
          <wp:inline distT="0" distB="0" distL="0" distR="0" wp14:anchorId="3FC650D1" wp14:editId="4971CFE6">
            <wp:extent cx="1099322" cy="362394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094" cy="3659456"/>
                    </a:xfrm>
                    <a:prstGeom prst="rect">
                      <a:avLst/>
                    </a:prstGeom>
                    <a:noFill/>
                  </pic:spPr>
                </pic:pic>
              </a:graphicData>
            </a:graphic>
          </wp:inline>
        </w:drawing>
      </w:r>
      <w:r>
        <w:rPr>
          <w:noProof/>
          <w:lang w:eastAsia="en-GB"/>
        </w:rPr>
        <w:drawing>
          <wp:inline distT="0" distB="0" distL="0" distR="0" wp14:anchorId="7F64813E" wp14:editId="0B75767F">
            <wp:extent cx="1080263" cy="3617595"/>
            <wp:effectExtent l="0" t="0" r="571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092" cy="3660555"/>
                    </a:xfrm>
                    <a:prstGeom prst="rect">
                      <a:avLst/>
                    </a:prstGeom>
                    <a:noFill/>
                  </pic:spPr>
                </pic:pic>
              </a:graphicData>
            </a:graphic>
          </wp:inline>
        </w:drawing>
      </w:r>
      <w:r>
        <w:rPr>
          <w:noProof/>
          <w:lang w:eastAsia="en-GB"/>
        </w:rPr>
        <w:drawing>
          <wp:inline distT="0" distB="0" distL="0" distR="0" wp14:anchorId="06348DEE" wp14:editId="14C5D54C">
            <wp:extent cx="1091320" cy="363271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2916" cy="3671312"/>
                    </a:xfrm>
                    <a:prstGeom prst="rect">
                      <a:avLst/>
                    </a:prstGeom>
                    <a:noFill/>
                  </pic:spPr>
                </pic:pic>
              </a:graphicData>
            </a:graphic>
          </wp:inline>
        </w:drawing>
      </w:r>
    </w:p>
    <w:p w14:paraId="0BB3AE36" w14:textId="77777777" w:rsidR="006E2858" w:rsidRDefault="006E2858"/>
    <w:p w14:paraId="50EEAD92" w14:textId="77777777" w:rsidR="00335F1E" w:rsidRDefault="00335F1E" w:rsidP="00335F1E">
      <w:pPr>
        <w:rPr>
          <w:b/>
        </w:rPr>
      </w:pPr>
      <w:r>
        <w:rPr>
          <w:b/>
        </w:rPr>
        <w:t>Cost:</w:t>
      </w:r>
    </w:p>
    <w:tbl>
      <w:tblPr>
        <w:tblStyle w:val="TableGrid"/>
        <w:tblW w:w="0" w:type="auto"/>
        <w:jc w:val="center"/>
        <w:tblLook w:val="04A0" w:firstRow="1" w:lastRow="0" w:firstColumn="1" w:lastColumn="0" w:noHBand="0" w:noVBand="1"/>
      </w:tblPr>
      <w:tblGrid>
        <w:gridCol w:w="5240"/>
        <w:gridCol w:w="1276"/>
      </w:tblGrid>
      <w:tr w:rsidR="00335F1E" w14:paraId="180A5E02" w14:textId="77777777" w:rsidTr="00335F1E">
        <w:trPr>
          <w:jc w:val="center"/>
        </w:trPr>
        <w:tc>
          <w:tcPr>
            <w:tcW w:w="5240" w:type="dxa"/>
          </w:tcPr>
          <w:p w14:paraId="6F859FF0" w14:textId="77777777" w:rsidR="00335F1E" w:rsidRDefault="00335F1E" w:rsidP="00335F1E">
            <w:pPr>
              <w:rPr>
                <w:b/>
              </w:rPr>
            </w:pPr>
            <w:r w:rsidRPr="00335F1E">
              <w:t>Consultation with Exec members &amp; sponsors &amp; design of 4 interventions</w:t>
            </w:r>
          </w:p>
        </w:tc>
        <w:tc>
          <w:tcPr>
            <w:tcW w:w="1276" w:type="dxa"/>
          </w:tcPr>
          <w:p w14:paraId="7455BB96" w14:textId="77777777" w:rsidR="00335F1E" w:rsidRDefault="00335F1E" w:rsidP="00335F1E">
            <w:pPr>
              <w:rPr>
                <w:b/>
              </w:rPr>
            </w:pPr>
            <w:r w:rsidRPr="00335F1E">
              <w:t>£2,000.00</w:t>
            </w:r>
          </w:p>
        </w:tc>
      </w:tr>
      <w:tr w:rsidR="00335F1E" w14:paraId="526FE656" w14:textId="77777777" w:rsidTr="00335F1E">
        <w:trPr>
          <w:jc w:val="center"/>
        </w:trPr>
        <w:tc>
          <w:tcPr>
            <w:tcW w:w="5240" w:type="dxa"/>
          </w:tcPr>
          <w:p w14:paraId="60C53796" w14:textId="77777777" w:rsidR="00335F1E" w:rsidRDefault="00335F1E" w:rsidP="00335F1E">
            <w:pPr>
              <w:rPr>
                <w:b/>
              </w:rPr>
            </w:pPr>
            <w:r w:rsidRPr="00335F1E">
              <w:t>Facilitation of 4 interventions</w:t>
            </w:r>
            <w:r w:rsidRPr="00335F1E">
              <w:tab/>
            </w:r>
          </w:p>
        </w:tc>
        <w:tc>
          <w:tcPr>
            <w:tcW w:w="1276" w:type="dxa"/>
          </w:tcPr>
          <w:p w14:paraId="08F24C90" w14:textId="77777777" w:rsidR="00335F1E" w:rsidRDefault="00335F1E" w:rsidP="00335F1E">
            <w:pPr>
              <w:rPr>
                <w:b/>
              </w:rPr>
            </w:pPr>
            <w:r w:rsidRPr="00335F1E">
              <w:t>£4,000.00</w:t>
            </w:r>
          </w:p>
        </w:tc>
      </w:tr>
      <w:tr w:rsidR="00335F1E" w14:paraId="03F32572" w14:textId="77777777" w:rsidTr="00335F1E">
        <w:trPr>
          <w:jc w:val="center"/>
        </w:trPr>
        <w:tc>
          <w:tcPr>
            <w:tcW w:w="5240" w:type="dxa"/>
          </w:tcPr>
          <w:p w14:paraId="29E449A9" w14:textId="77777777" w:rsidR="00335F1E" w:rsidRDefault="00335F1E" w:rsidP="00335F1E">
            <w:pPr>
              <w:rPr>
                <w:b/>
              </w:rPr>
            </w:pPr>
            <w:r w:rsidRPr="00335F1E">
              <w:t xml:space="preserve">Actors from </w:t>
            </w:r>
            <w:proofErr w:type="spellStart"/>
            <w:r w:rsidRPr="00335F1E">
              <w:t>RolePlays</w:t>
            </w:r>
            <w:proofErr w:type="spellEnd"/>
            <w:r w:rsidRPr="00335F1E">
              <w:t xml:space="preserve"> for Training</w:t>
            </w:r>
          </w:p>
        </w:tc>
        <w:tc>
          <w:tcPr>
            <w:tcW w:w="1276" w:type="dxa"/>
          </w:tcPr>
          <w:p w14:paraId="35EA98C2" w14:textId="77777777" w:rsidR="00335F1E" w:rsidRDefault="00335F1E" w:rsidP="00335F1E">
            <w:pPr>
              <w:rPr>
                <w:b/>
              </w:rPr>
            </w:pPr>
            <w:r w:rsidRPr="00335F1E">
              <w:t>£2,000.00</w:t>
            </w:r>
          </w:p>
        </w:tc>
      </w:tr>
      <w:tr w:rsidR="00335F1E" w14:paraId="4A87EC39" w14:textId="77777777" w:rsidTr="00335F1E">
        <w:trPr>
          <w:jc w:val="center"/>
        </w:trPr>
        <w:tc>
          <w:tcPr>
            <w:tcW w:w="5240" w:type="dxa"/>
          </w:tcPr>
          <w:p w14:paraId="21F02729" w14:textId="2A16F355" w:rsidR="00335F1E" w:rsidRDefault="00CF3183" w:rsidP="0044478D">
            <w:pPr>
              <w:rPr>
                <w:b/>
              </w:rPr>
            </w:pPr>
            <w:r>
              <w:t xml:space="preserve">Possible collaboration with </w:t>
            </w:r>
          </w:p>
        </w:tc>
        <w:tc>
          <w:tcPr>
            <w:tcW w:w="1276" w:type="dxa"/>
          </w:tcPr>
          <w:p w14:paraId="151B11D6" w14:textId="77777777" w:rsidR="00335F1E" w:rsidRDefault="00335F1E" w:rsidP="00335F1E">
            <w:pPr>
              <w:rPr>
                <w:b/>
              </w:rPr>
            </w:pPr>
            <w:r>
              <w:t>£500.00</w:t>
            </w:r>
          </w:p>
        </w:tc>
      </w:tr>
      <w:tr w:rsidR="00335F1E" w14:paraId="3C5FA679" w14:textId="77777777" w:rsidTr="00335F1E">
        <w:trPr>
          <w:jc w:val="center"/>
        </w:trPr>
        <w:tc>
          <w:tcPr>
            <w:tcW w:w="5240" w:type="dxa"/>
          </w:tcPr>
          <w:p w14:paraId="5B7E2A5C" w14:textId="4D81DB65" w:rsidR="00335F1E" w:rsidRDefault="00335F1E" w:rsidP="0044478D">
            <w:pPr>
              <w:rPr>
                <w:b/>
              </w:rPr>
            </w:pPr>
            <w:r w:rsidRPr="00335F1E">
              <w:t xml:space="preserve">Impact Assessment </w:t>
            </w:r>
            <w:r w:rsidR="00D07EAB">
              <w:t xml:space="preserve">session </w:t>
            </w:r>
          </w:p>
        </w:tc>
        <w:tc>
          <w:tcPr>
            <w:tcW w:w="1276" w:type="dxa"/>
          </w:tcPr>
          <w:p w14:paraId="122BFB98" w14:textId="77777777" w:rsidR="00335F1E" w:rsidRDefault="00335F1E" w:rsidP="00335F1E">
            <w:pPr>
              <w:rPr>
                <w:b/>
              </w:rPr>
            </w:pPr>
            <w:r>
              <w:t>£</w:t>
            </w:r>
            <w:r w:rsidRPr="00335F1E">
              <w:t>500.00</w:t>
            </w:r>
          </w:p>
        </w:tc>
      </w:tr>
      <w:tr w:rsidR="00335F1E" w14:paraId="6883235B" w14:textId="77777777" w:rsidTr="00335F1E">
        <w:trPr>
          <w:jc w:val="center"/>
        </w:trPr>
        <w:tc>
          <w:tcPr>
            <w:tcW w:w="5240" w:type="dxa"/>
          </w:tcPr>
          <w:p w14:paraId="3C8248E6" w14:textId="77777777" w:rsidR="00335F1E" w:rsidRPr="00335F1E" w:rsidRDefault="00335F1E" w:rsidP="00335F1E">
            <w:pPr>
              <w:rPr>
                <w:b/>
              </w:rPr>
            </w:pPr>
            <w:r w:rsidRPr="00335F1E">
              <w:rPr>
                <w:b/>
              </w:rPr>
              <w:t>Total Cost</w:t>
            </w:r>
          </w:p>
        </w:tc>
        <w:tc>
          <w:tcPr>
            <w:tcW w:w="1276" w:type="dxa"/>
          </w:tcPr>
          <w:p w14:paraId="6D336A55" w14:textId="77777777" w:rsidR="00335F1E" w:rsidRPr="00335F1E" w:rsidRDefault="00335F1E" w:rsidP="00335F1E">
            <w:pPr>
              <w:rPr>
                <w:b/>
              </w:rPr>
            </w:pPr>
            <w:r w:rsidRPr="00335F1E">
              <w:rPr>
                <w:b/>
              </w:rPr>
              <w:t>£9,000</w:t>
            </w:r>
          </w:p>
        </w:tc>
      </w:tr>
    </w:tbl>
    <w:p w14:paraId="09F04A3B" w14:textId="77777777" w:rsidR="00335F1E" w:rsidRDefault="00335F1E" w:rsidP="00335F1E">
      <w:pPr>
        <w:jc w:val="right"/>
        <w:rPr>
          <w:b/>
        </w:rPr>
      </w:pPr>
    </w:p>
    <w:p w14:paraId="769811DD" w14:textId="77777777" w:rsidR="00CD08D7" w:rsidRDefault="00CD08D7" w:rsidP="00262962">
      <w:pPr>
        <w:rPr>
          <w:b/>
        </w:rPr>
      </w:pPr>
    </w:p>
    <w:p w14:paraId="64C0685D" w14:textId="411E489E" w:rsidR="00262962" w:rsidRDefault="00262962" w:rsidP="00262962">
      <w:pPr>
        <w:rPr>
          <w:b/>
        </w:rPr>
      </w:pPr>
      <w:r w:rsidRPr="00262962">
        <w:rPr>
          <w:b/>
        </w:rPr>
        <w:t>Success Measures</w:t>
      </w:r>
      <w:r w:rsidR="00CD08D7">
        <w:rPr>
          <w:b/>
        </w:rPr>
        <w:t>:</w:t>
      </w:r>
    </w:p>
    <w:p w14:paraId="106E4A1C" w14:textId="244702CD" w:rsidR="00CD08D7" w:rsidRDefault="00CD08D7" w:rsidP="00CD08D7">
      <w:r>
        <w:t>As a result of this programme the following improvements will be evidenced through the annual equality report:</w:t>
      </w:r>
    </w:p>
    <w:p w14:paraId="42F23888" w14:textId="77777777" w:rsidR="00CD08D7" w:rsidRDefault="00CD08D7" w:rsidP="00CD08D7">
      <w:pPr>
        <w:pStyle w:val="ListParagraph"/>
        <w:numPr>
          <w:ilvl w:val="0"/>
          <w:numId w:val="5"/>
        </w:numPr>
      </w:pPr>
      <w:r>
        <w:t xml:space="preserve">Leadership Team completing required equality information on board papers.  </w:t>
      </w:r>
    </w:p>
    <w:p w14:paraId="0F7F346D" w14:textId="0A9B57CB" w:rsidR="00CD08D7" w:rsidRDefault="00CD08D7" w:rsidP="00CD08D7">
      <w:pPr>
        <w:pStyle w:val="ListParagraph"/>
        <w:numPr>
          <w:ilvl w:val="0"/>
          <w:numId w:val="5"/>
        </w:numPr>
      </w:pPr>
      <w:r>
        <w:t xml:space="preserve">Keep the Equality Impact Assessment Log up to date (in business plan).  </w:t>
      </w:r>
    </w:p>
    <w:p w14:paraId="721DCF23" w14:textId="1E0AED86" w:rsidR="00CD08D7" w:rsidRPr="00D07EAB" w:rsidRDefault="00CD08D7" w:rsidP="00CD08D7">
      <w:pPr>
        <w:pStyle w:val="ListParagraph"/>
        <w:numPr>
          <w:ilvl w:val="0"/>
          <w:numId w:val="5"/>
        </w:numPr>
      </w:pPr>
      <w:r>
        <w:t xml:space="preserve">Equality Impact assessments completed on plans, strategies, policies and decisions. </w:t>
      </w:r>
    </w:p>
    <w:p w14:paraId="7CA0700A" w14:textId="2CDF2007" w:rsidR="00CD08D7" w:rsidRDefault="00CD08D7" w:rsidP="00CD08D7">
      <w:pPr>
        <w:pStyle w:val="ListParagraph"/>
        <w:numPr>
          <w:ilvl w:val="0"/>
          <w:numId w:val="5"/>
        </w:numPr>
      </w:pPr>
      <w:r>
        <w:t>Up to date equality training needs analysis for all staff.</w:t>
      </w:r>
    </w:p>
    <w:p w14:paraId="70C8B595" w14:textId="719E3B7C" w:rsidR="00CD08D7" w:rsidRDefault="00CD08D7" w:rsidP="00CD08D7">
      <w:pPr>
        <w:pStyle w:val="ListParagraph"/>
        <w:numPr>
          <w:ilvl w:val="0"/>
          <w:numId w:val="5"/>
        </w:numPr>
      </w:pPr>
      <w:r>
        <w:t>Staff and board diversity.</w:t>
      </w:r>
    </w:p>
    <w:p w14:paraId="5FEC483D" w14:textId="77777777" w:rsidR="00CD08D7" w:rsidRDefault="00CD08D7" w:rsidP="00262962"/>
    <w:p w14:paraId="4D44BDA9" w14:textId="0E3DB801" w:rsidR="00CD08D7" w:rsidRPr="00CD08D7" w:rsidRDefault="00CD08D7" w:rsidP="00262962">
      <w:r>
        <w:t>Leadership t</w:t>
      </w:r>
      <w:r w:rsidRPr="00CD08D7">
        <w:t xml:space="preserve">eam </w:t>
      </w:r>
      <w:r>
        <w:t>self-assessed behaviour performance indicators before and after training programme:</w:t>
      </w:r>
    </w:p>
    <w:tbl>
      <w:tblPr>
        <w:tblStyle w:val="TableGrid"/>
        <w:tblW w:w="0" w:type="auto"/>
        <w:tblLook w:val="04A0" w:firstRow="1" w:lastRow="0" w:firstColumn="1" w:lastColumn="0" w:noHBand="0" w:noVBand="1"/>
      </w:tblPr>
      <w:tblGrid>
        <w:gridCol w:w="6136"/>
        <w:gridCol w:w="1529"/>
        <w:gridCol w:w="1351"/>
      </w:tblGrid>
      <w:tr w:rsidR="00262962" w14:paraId="3BF00C7B" w14:textId="77777777" w:rsidTr="004C390E">
        <w:tc>
          <w:tcPr>
            <w:tcW w:w="6136" w:type="dxa"/>
          </w:tcPr>
          <w:p w14:paraId="4470A0AF" w14:textId="77777777" w:rsidR="00262962" w:rsidRPr="00FB5967" w:rsidRDefault="00262962" w:rsidP="004C390E">
            <w:pPr>
              <w:rPr>
                <w:b/>
              </w:rPr>
            </w:pPr>
            <w:r w:rsidRPr="00FB5967">
              <w:rPr>
                <w:b/>
              </w:rPr>
              <w:lastRenderedPageBreak/>
              <w:t>Statement</w:t>
            </w:r>
          </w:p>
        </w:tc>
        <w:tc>
          <w:tcPr>
            <w:tcW w:w="1529" w:type="dxa"/>
          </w:tcPr>
          <w:p w14:paraId="2FD13ECE" w14:textId="77777777" w:rsidR="00262962" w:rsidRPr="00FB5967" w:rsidRDefault="00262962" w:rsidP="004C390E">
            <w:pPr>
              <w:rPr>
                <w:b/>
              </w:rPr>
            </w:pPr>
            <w:r w:rsidRPr="00FB5967">
              <w:rPr>
                <w:b/>
              </w:rPr>
              <w:t>Have done / are confident to do</w:t>
            </w:r>
          </w:p>
        </w:tc>
        <w:tc>
          <w:tcPr>
            <w:tcW w:w="1351" w:type="dxa"/>
          </w:tcPr>
          <w:p w14:paraId="09632787" w14:textId="77777777" w:rsidR="00262962" w:rsidRPr="00FB5967" w:rsidRDefault="00262962" w:rsidP="004C390E">
            <w:pPr>
              <w:rPr>
                <w:b/>
              </w:rPr>
            </w:pPr>
            <w:r w:rsidRPr="00FB5967">
              <w:rPr>
                <w:b/>
              </w:rPr>
              <w:t>Target</w:t>
            </w:r>
          </w:p>
        </w:tc>
      </w:tr>
      <w:tr w:rsidR="00262962" w:rsidRPr="00236956" w14:paraId="136B5C15" w14:textId="77777777" w:rsidTr="004C390E">
        <w:tc>
          <w:tcPr>
            <w:tcW w:w="6136" w:type="dxa"/>
          </w:tcPr>
          <w:p w14:paraId="031BAB7F"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 xml:space="preserve">I have </w:t>
            </w:r>
            <w:r>
              <w:rPr>
                <w:rFonts w:asciiTheme="majorHAnsi" w:hAnsiTheme="majorHAnsi" w:cs="Arial"/>
                <w:bCs/>
                <w:color w:val="000000"/>
              </w:rPr>
              <w:t xml:space="preserve">discussed and </w:t>
            </w:r>
            <w:r w:rsidRPr="00236956">
              <w:rPr>
                <w:rFonts w:asciiTheme="majorHAnsi" w:hAnsiTheme="majorHAnsi" w:cs="Arial"/>
                <w:bCs/>
                <w:color w:val="000000"/>
              </w:rPr>
              <w:t xml:space="preserve">shared </w:t>
            </w:r>
            <w:r>
              <w:rPr>
                <w:rFonts w:asciiTheme="majorHAnsi" w:hAnsiTheme="majorHAnsi" w:cs="Arial"/>
                <w:bCs/>
                <w:color w:val="000000"/>
              </w:rPr>
              <w:t xml:space="preserve">with my team </w:t>
            </w:r>
            <w:r w:rsidRPr="00236956">
              <w:rPr>
                <w:rFonts w:asciiTheme="majorHAnsi" w:hAnsiTheme="majorHAnsi" w:cs="Arial"/>
                <w:bCs/>
                <w:color w:val="000000"/>
              </w:rPr>
              <w:t>the main focus and key themes of the Sport Wales Strategic Equality Plan.</w:t>
            </w:r>
          </w:p>
        </w:tc>
        <w:tc>
          <w:tcPr>
            <w:tcW w:w="1529" w:type="dxa"/>
          </w:tcPr>
          <w:p w14:paraId="578ECE53" w14:textId="77777777" w:rsidR="00262962" w:rsidRPr="00236956" w:rsidRDefault="00262962" w:rsidP="004C390E">
            <w:pPr>
              <w:rPr>
                <w:rFonts w:asciiTheme="majorHAnsi" w:hAnsiTheme="majorHAnsi"/>
              </w:rPr>
            </w:pPr>
            <w:r w:rsidRPr="00236956">
              <w:rPr>
                <w:rFonts w:asciiTheme="majorHAnsi" w:hAnsiTheme="majorHAnsi"/>
              </w:rPr>
              <w:t>30%</w:t>
            </w:r>
          </w:p>
        </w:tc>
        <w:tc>
          <w:tcPr>
            <w:tcW w:w="1351" w:type="dxa"/>
          </w:tcPr>
          <w:p w14:paraId="1C8E1FEC" w14:textId="77777777" w:rsidR="00262962" w:rsidRPr="00236956" w:rsidRDefault="00262962" w:rsidP="004C390E">
            <w:pPr>
              <w:rPr>
                <w:rFonts w:asciiTheme="majorHAnsi" w:hAnsiTheme="majorHAnsi"/>
              </w:rPr>
            </w:pPr>
          </w:p>
        </w:tc>
      </w:tr>
      <w:tr w:rsidR="00262962" w:rsidRPr="00236956" w14:paraId="138E1E9B" w14:textId="77777777" w:rsidTr="004C390E">
        <w:tc>
          <w:tcPr>
            <w:tcW w:w="6136" w:type="dxa"/>
          </w:tcPr>
          <w:p w14:paraId="18B83FB6"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I have conducted and I am confident in conducting Equality Impact Assessment</w:t>
            </w:r>
            <w:r>
              <w:rPr>
                <w:rFonts w:asciiTheme="majorHAnsi" w:hAnsiTheme="majorHAnsi" w:cs="Arial"/>
                <w:bCs/>
                <w:color w:val="000000"/>
              </w:rPr>
              <w:t xml:space="preserve"> which conforms to the Sport Wales template</w:t>
            </w:r>
            <w:r w:rsidRPr="00236956">
              <w:rPr>
                <w:rFonts w:asciiTheme="majorHAnsi" w:hAnsiTheme="majorHAnsi" w:cs="Arial"/>
                <w:bCs/>
                <w:color w:val="000000"/>
              </w:rPr>
              <w:t>.</w:t>
            </w:r>
          </w:p>
        </w:tc>
        <w:tc>
          <w:tcPr>
            <w:tcW w:w="1529" w:type="dxa"/>
          </w:tcPr>
          <w:p w14:paraId="6F70F7CA" w14:textId="77777777" w:rsidR="00262962" w:rsidRPr="00236956" w:rsidRDefault="00262962" w:rsidP="004C390E">
            <w:pPr>
              <w:rPr>
                <w:rFonts w:asciiTheme="majorHAnsi" w:hAnsiTheme="majorHAnsi"/>
              </w:rPr>
            </w:pPr>
            <w:r w:rsidRPr="00236956">
              <w:rPr>
                <w:rFonts w:asciiTheme="majorHAnsi" w:hAnsiTheme="majorHAnsi"/>
              </w:rPr>
              <w:t>20%</w:t>
            </w:r>
          </w:p>
        </w:tc>
        <w:tc>
          <w:tcPr>
            <w:tcW w:w="1351" w:type="dxa"/>
          </w:tcPr>
          <w:p w14:paraId="5BDEF5F2" w14:textId="77777777" w:rsidR="00262962" w:rsidRPr="00236956" w:rsidRDefault="00262962" w:rsidP="004C390E">
            <w:pPr>
              <w:rPr>
                <w:rFonts w:asciiTheme="majorHAnsi" w:hAnsiTheme="majorHAnsi"/>
              </w:rPr>
            </w:pPr>
          </w:p>
        </w:tc>
      </w:tr>
      <w:tr w:rsidR="00262962" w:rsidRPr="00236956" w14:paraId="091962AE" w14:textId="77777777" w:rsidTr="004C390E">
        <w:tc>
          <w:tcPr>
            <w:tcW w:w="6136" w:type="dxa"/>
          </w:tcPr>
          <w:p w14:paraId="4E38E40B"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 xml:space="preserve">I understand </w:t>
            </w:r>
            <w:r>
              <w:rPr>
                <w:rFonts w:asciiTheme="majorHAnsi" w:hAnsiTheme="majorHAnsi" w:cs="Arial"/>
                <w:bCs/>
                <w:color w:val="000000"/>
              </w:rPr>
              <w:t xml:space="preserve">and can explain </w:t>
            </w:r>
            <w:r w:rsidRPr="00236956">
              <w:rPr>
                <w:rFonts w:asciiTheme="majorHAnsi" w:hAnsiTheme="majorHAnsi" w:cs="Arial"/>
                <w:bCs/>
                <w:color w:val="000000"/>
              </w:rPr>
              <w:t>how the Strategic Equality Plan relates to Sport Wales Strategies.</w:t>
            </w:r>
          </w:p>
        </w:tc>
        <w:tc>
          <w:tcPr>
            <w:tcW w:w="1529" w:type="dxa"/>
          </w:tcPr>
          <w:p w14:paraId="77915BA0" w14:textId="77777777" w:rsidR="00262962" w:rsidRPr="00236956" w:rsidRDefault="00262962" w:rsidP="004C390E">
            <w:pPr>
              <w:rPr>
                <w:rFonts w:asciiTheme="majorHAnsi" w:hAnsiTheme="majorHAnsi"/>
              </w:rPr>
            </w:pPr>
            <w:r w:rsidRPr="00236956">
              <w:rPr>
                <w:rFonts w:asciiTheme="majorHAnsi" w:hAnsiTheme="majorHAnsi"/>
              </w:rPr>
              <w:t>50%</w:t>
            </w:r>
          </w:p>
        </w:tc>
        <w:tc>
          <w:tcPr>
            <w:tcW w:w="1351" w:type="dxa"/>
          </w:tcPr>
          <w:p w14:paraId="1E74FCF7" w14:textId="77777777" w:rsidR="00262962" w:rsidRPr="00236956" w:rsidRDefault="00262962" w:rsidP="004C390E">
            <w:pPr>
              <w:rPr>
                <w:rFonts w:asciiTheme="majorHAnsi" w:hAnsiTheme="majorHAnsi"/>
              </w:rPr>
            </w:pPr>
          </w:p>
        </w:tc>
      </w:tr>
      <w:tr w:rsidR="00262962" w:rsidRPr="00236956" w14:paraId="10FFD6F3" w14:textId="77777777" w:rsidTr="004C390E">
        <w:tc>
          <w:tcPr>
            <w:tcW w:w="6136" w:type="dxa"/>
          </w:tcPr>
          <w:p w14:paraId="2DEB639C"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I have a clear understanding of the relationship between the Business Plan and the Equality Action Plan and have ensured that officers understand this when preparing their individual work programmes</w:t>
            </w:r>
            <w:r>
              <w:rPr>
                <w:rFonts w:asciiTheme="majorHAnsi" w:hAnsiTheme="majorHAnsi" w:cs="Arial"/>
                <w:bCs/>
                <w:color w:val="000000"/>
              </w:rPr>
              <w:t xml:space="preserve"> and report progress</w:t>
            </w:r>
            <w:r w:rsidRPr="00236956">
              <w:rPr>
                <w:rFonts w:asciiTheme="majorHAnsi" w:hAnsiTheme="majorHAnsi" w:cs="Arial"/>
                <w:bCs/>
                <w:color w:val="000000"/>
              </w:rPr>
              <w:t>.</w:t>
            </w:r>
          </w:p>
        </w:tc>
        <w:tc>
          <w:tcPr>
            <w:tcW w:w="1529" w:type="dxa"/>
          </w:tcPr>
          <w:p w14:paraId="3A592C91" w14:textId="77777777" w:rsidR="00262962" w:rsidRPr="00236956" w:rsidRDefault="00262962" w:rsidP="004C390E">
            <w:pPr>
              <w:rPr>
                <w:rFonts w:asciiTheme="majorHAnsi" w:hAnsiTheme="majorHAnsi"/>
              </w:rPr>
            </w:pPr>
            <w:r w:rsidRPr="00236956">
              <w:rPr>
                <w:rFonts w:asciiTheme="majorHAnsi" w:hAnsiTheme="majorHAnsi"/>
              </w:rPr>
              <w:t>50%</w:t>
            </w:r>
          </w:p>
        </w:tc>
        <w:tc>
          <w:tcPr>
            <w:tcW w:w="1351" w:type="dxa"/>
          </w:tcPr>
          <w:p w14:paraId="0A0F88CD" w14:textId="77777777" w:rsidR="00262962" w:rsidRPr="00236956" w:rsidRDefault="00262962" w:rsidP="004C390E">
            <w:pPr>
              <w:rPr>
                <w:rFonts w:asciiTheme="majorHAnsi" w:hAnsiTheme="majorHAnsi"/>
              </w:rPr>
            </w:pPr>
          </w:p>
        </w:tc>
      </w:tr>
      <w:tr w:rsidR="00262962" w:rsidRPr="00236956" w14:paraId="3878C3D8" w14:textId="77777777" w:rsidTr="004C390E">
        <w:tc>
          <w:tcPr>
            <w:tcW w:w="6136" w:type="dxa"/>
          </w:tcPr>
          <w:p w14:paraId="41E5DDC7"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In my role supporting the development, delivery and reviewing of a policy I would naturally want to understand how those who share a protected characteristics have been engaged with and understood</w:t>
            </w:r>
            <w:r>
              <w:rPr>
                <w:rFonts w:asciiTheme="majorHAnsi" w:hAnsiTheme="majorHAnsi" w:cs="Arial"/>
                <w:bCs/>
                <w:color w:val="000000"/>
              </w:rPr>
              <w:t xml:space="preserve"> by consulting and engaging with under-represented groups</w:t>
            </w:r>
            <w:r w:rsidRPr="00236956">
              <w:rPr>
                <w:rFonts w:asciiTheme="majorHAnsi" w:hAnsiTheme="majorHAnsi" w:cs="Arial"/>
                <w:bCs/>
                <w:color w:val="000000"/>
              </w:rPr>
              <w:t>.</w:t>
            </w:r>
          </w:p>
        </w:tc>
        <w:tc>
          <w:tcPr>
            <w:tcW w:w="1529" w:type="dxa"/>
          </w:tcPr>
          <w:p w14:paraId="2A79E94C" w14:textId="77777777" w:rsidR="00262962" w:rsidRPr="00236956" w:rsidRDefault="00262962" w:rsidP="004C390E">
            <w:pPr>
              <w:rPr>
                <w:rFonts w:asciiTheme="majorHAnsi" w:hAnsiTheme="majorHAnsi"/>
              </w:rPr>
            </w:pPr>
            <w:r w:rsidRPr="00236956">
              <w:rPr>
                <w:rFonts w:asciiTheme="majorHAnsi" w:hAnsiTheme="majorHAnsi"/>
              </w:rPr>
              <w:t>10%</w:t>
            </w:r>
          </w:p>
        </w:tc>
        <w:tc>
          <w:tcPr>
            <w:tcW w:w="1351" w:type="dxa"/>
          </w:tcPr>
          <w:p w14:paraId="21F7BF76" w14:textId="77777777" w:rsidR="00262962" w:rsidRPr="00236956" w:rsidRDefault="00262962" w:rsidP="004C390E">
            <w:pPr>
              <w:rPr>
                <w:rFonts w:asciiTheme="majorHAnsi" w:hAnsiTheme="majorHAnsi"/>
              </w:rPr>
            </w:pPr>
          </w:p>
        </w:tc>
      </w:tr>
      <w:tr w:rsidR="00262962" w:rsidRPr="00236956" w14:paraId="64C30029" w14:textId="77777777" w:rsidTr="004C390E">
        <w:tc>
          <w:tcPr>
            <w:tcW w:w="6136" w:type="dxa"/>
          </w:tcPr>
          <w:p w14:paraId="0BFE153B" w14:textId="77777777" w:rsidR="00262962" w:rsidRPr="00236956" w:rsidRDefault="00262962" w:rsidP="004C390E">
            <w:pPr>
              <w:autoSpaceDE w:val="0"/>
              <w:autoSpaceDN w:val="0"/>
              <w:adjustRightInd w:val="0"/>
              <w:rPr>
                <w:rFonts w:asciiTheme="majorHAnsi" w:hAnsiTheme="majorHAnsi"/>
              </w:rPr>
            </w:pPr>
            <w:r w:rsidRPr="00236956">
              <w:rPr>
                <w:rFonts w:asciiTheme="majorHAnsi" w:hAnsiTheme="majorHAnsi" w:cs="Arial"/>
                <w:bCs/>
                <w:color w:val="000000"/>
              </w:rPr>
              <w:t>When I have tendered or procured goods or services I have given due regard to equality and diversity when appointing.</w:t>
            </w:r>
          </w:p>
        </w:tc>
        <w:tc>
          <w:tcPr>
            <w:tcW w:w="1529" w:type="dxa"/>
          </w:tcPr>
          <w:p w14:paraId="2D813128" w14:textId="77777777" w:rsidR="00262962" w:rsidRPr="00236956" w:rsidRDefault="00262962" w:rsidP="004C390E">
            <w:pPr>
              <w:rPr>
                <w:rFonts w:asciiTheme="majorHAnsi" w:hAnsiTheme="majorHAnsi"/>
              </w:rPr>
            </w:pPr>
            <w:r w:rsidRPr="00236956">
              <w:rPr>
                <w:rFonts w:asciiTheme="majorHAnsi" w:hAnsiTheme="majorHAnsi"/>
              </w:rPr>
              <w:t>20%</w:t>
            </w:r>
          </w:p>
        </w:tc>
        <w:tc>
          <w:tcPr>
            <w:tcW w:w="1351" w:type="dxa"/>
          </w:tcPr>
          <w:p w14:paraId="50479243" w14:textId="77777777" w:rsidR="00262962" w:rsidRPr="00236956" w:rsidRDefault="00262962" w:rsidP="004C390E">
            <w:pPr>
              <w:rPr>
                <w:rFonts w:asciiTheme="majorHAnsi" w:hAnsiTheme="majorHAnsi"/>
              </w:rPr>
            </w:pPr>
          </w:p>
        </w:tc>
      </w:tr>
      <w:tr w:rsidR="00262962" w:rsidRPr="00236956" w14:paraId="34D72CD0" w14:textId="77777777" w:rsidTr="004C390E">
        <w:tc>
          <w:tcPr>
            <w:tcW w:w="6136" w:type="dxa"/>
          </w:tcPr>
          <w:p w14:paraId="27EA0D59" w14:textId="77777777" w:rsidR="00262962" w:rsidRPr="00236956" w:rsidRDefault="00262962" w:rsidP="004C390E">
            <w:pPr>
              <w:autoSpaceDE w:val="0"/>
              <w:autoSpaceDN w:val="0"/>
              <w:adjustRightInd w:val="0"/>
              <w:rPr>
                <w:rFonts w:asciiTheme="majorHAnsi" w:hAnsiTheme="majorHAnsi" w:cs="Arial"/>
                <w:bCs/>
                <w:color w:val="000000"/>
              </w:rPr>
            </w:pPr>
            <w:r w:rsidRPr="00236956">
              <w:rPr>
                <w:rFonts w:asciiTheme="majorHAnsi" w:hAnsiTheme="majorHAnsi" w:cs="Arial"/>
                <w:bCs/>
                <w:color w:val="000000"/>
              </w:rPr>
              <w:t xml:space="preserve">Have you </w:t>
            </w:r>
            <w:r>
              <w:rPr>
                <w:rFonts w:asciiTheme="majorHAnsi" w:hAnsiTheme="majorHAnsi" w:cs="Arial"/>
                <w:bCs/>
                <w:color w:val="000000"/>
              </w:rPr>
              <w:t xml:space="preserve">appropriately </w:t>
            </w:r>
            <w:r w:rsidRPr="00236956">
              <w:rPr>
                <w:rFonts w:asciiTheme="majorHAnsi" w:hAnsiTheme="majorHAnsi" w:cs="Arial"/>
                <w:bCs/>
                <w:color w:val="000000"/>
              </w:rPr>
              <w:t>managed a situation where equality has impacted on the well-being of an individual?</w:t>
            </w:r>
          </w:p>
        </w:tc>
        <w:tc>
          <w:tcPr>
            <w:tcW w:w="1529" w:type="dxa"/>
          </w:tcPr>
          <w:p w14:paraId="590ECAC0" w14:textId="77777777" w:rsidR="00262962" w:rsidRPr="00236956" w:rsidRDefault="00262962" w:rsidP="004C390E">
            <w:pPr>
              <w:rPr>
                <w:rFonts w:asciiTheme="majorHAnsi" w:hAnsiTheme="majorHAnsi"/>
              </w:rPr>
            </w:pPr>
            <w:r w:rsidRPr="00236956">
              <w:rPr>
                <w:rFonts w:asciiTheme="majorHAnsi" w:hAnsiTheme="majorHAnsi"/>
              </w:rPr>
              <w:t>50%</w:t>
            </w:r>
          </w:p>
        </w:tc>
        <w:tc>
          <w:tcPr>
            <w:tcW w:w="1351" w:type="dxa"/>
          </w:tcPr>
          <w:p w14:paraId="2785032A" w14:textId="77777777" w:rsidR="00262962" w:rsidRPr="00236956" w:rsidRDefault="00262962" w:rsidP="004C390E">
            <w:pPr>
              <w:rPr>
                <w:rFonts w:asciiTheme="majorHAnsi" w:hAnsiTheme="majorHAnsi"/>
              </w:rPr>
            </w:pPr>
          </w:p>
        </w:tc>
      </w:tr>
      <w:tr w:rsidR="00262962" w:rsidRPr="00236956" w14:paraId="7CAECED4" w14:textId="77777777" w:rsidTr="004C390E">
        <w:tc>
          <w:tcPr>
            <w:tcW w:w="6136" w:type="dxa"/>
          </w:tcPr>
          <w:p w14:paraId="3DDEF723" w14:textId="77777777" w:rsidR="00262962" w:rsidRPr="00236956" w:rsidRDefault="00262962" w:rsidP="004C390E">
            <w:pPr>
              <w:autoSpaceDE w:val="0"/>
              <w:autoSpaceDN w:val="0"/>
              <w:adjustRightInd w:val="0"/>
              <w:rPr>
                <w:rFonts w:asciiTheme="majorHAnsi" w:hAnsiTheme="majorHAnsi" w:cs="Arial"/>
                <w:bCs/>
                <w:color w:val="000000"/>
              </w:rPr>
            </w:pPr>
            <w:r w:rsidRPr="00236956">
              <w:rPr>
                <w:rFonts w:asciiTheme="majorHAnsi" w:hAnsiTheme="majorHAnsi" w:cs="Arial"/>
                <w:bCs/>
                <w:color w:val="000000"/>
              </w:rPr>
              <w:t xml:space="preserve">I ensure that the skills and behaviours of staff in relation to equality are developed and would discuss this as part of </w:t>
            </w:r>
            <w:r>
              <w:rPr>
                <w:rFonts w:asciiTheme="majorHAnsi" w:hAnsiTheme="majorHAnsi" w:cs="Arial"/>
                <w:bCs/>
                <w:color w:val="000000"/>
              </w:rPr>
              <w:t xml:space="preserve">the </w:t>
            </w:r>
            <w:r w:rsidRPr="00236956">
              <w:rPr>
                <w:rFonts w:asciiTheme="majorHAnsi" w:hAnsiTheme="majorHAnsi" w:cs="Arial"/>
                <w:bCs/>
                <w:color w:val="000000"/>
              </w:rPr>
              <w:t>performance review and staff development.</w:t>
            </w:r>
          </w:p>
        </w:tc>
        <w:tc>
          <w:tcPr>
            <w:tcW w:w="1529" w:type="dxa"/>
          </w:tcPr>
          <w:p w14:paraId="2DBBCFCF" w14:textId="77777777" w:rsidR="00262962" w:rsidRPr="00236956" w:rsidRDefault="00262962" w:rsidP="004C390E">
            <w:pPr>
              <w:rPr>
                <w:rFonts w:asciiTheme="majorHAnsi" w:hAnsiTheme="majorHAnsi"/>
              </w:rPr>
            </w:pPr>
            <w:r w:rsidRPr="00236956">
              <w:rPr>
                <w:rFonts w:asciiTheme="majorHAnsi" w:hAnsiTheme="majorHAnsi"/>
              </w:rPr>
              <w:t>40%</w:t>
            </w:r>
          </w:p>
        </w:tc>
        <w:tc>
          <w:tcPr>
            <w:tcW w:w="1351" w:type="dxa"/>
          </w:tcPr>
          <w:p w14:paraId="192006BA" w14:textId="77777777" w:rsidR="00262962" w:rsidRPr="00236956" w:rsidRDefault="00262962" w:rsidP="004C390E">
            <w:pPr>
              <w:rPr>
                <w:rFonts w:asciiTheme="majorHAnsi" w:hAnsiTheme="majorHAnsi"/>
              </w:rPr>
            </w:pPr>
          </w:p>
        </w:tc>
      </w:tr>
      <w:tr w:rsidR="00262962" w:rsidRPr="00236956" w14:paraId="22535D2C" w14:textId="77777777" w:rsidTr="004C390E">
        <w:tc>
          <w:tcPr>
            <w:tcW w:w="6136" w:type="dxa"/>
          </w:tcPr>
          <w:p w14:paraId="5941A33C" w14:textId="77777777" w:rsidR="00262962" w:rsidRPr="00236956" w:rsidRDefault="00262962" w:rsidP="004C390E">
            <w:pPr>
              <w:autoSpaceDE w:val="0"/>
              <w:autoSpaceDN w:val="0"/>
              <w:adjustRightInd w:val="0"/>
              <w:rPr>
                <w:rFonts w:asciiTheme="majorHAnsi" w:hAnsiTheme="majorHAnsi" w:cs="Arial"/>
                <w:bCs/>
                <w:color w:val="000000"/>
              </w:rPr>
            </w:pPr>
            <w:r w:rsidRPr="00236956">
              <w:rPr>
                <w:rFonts w:asciiTheme="majorHAnsi" w:hAnsiTheme="majorHAnsi" w:cs="Arial"/>
                <w:bCs/>
                <w:color w:val="000000"/>
              </w:rPr>
              <w:t>When considering my own personal development I have considered my skills and behaviours in relation to equality.</w:t>
            </w:r>
          </w:p>
        </w:tc>
        <w:tc>
          <w:tcPr>
            <w:tcW w:w="1529" w:type="dxa"/>
          </w:tcPr>
          <w:p w14:paraId="46201754" w14:textId="77777777" w:rsidR="00262962" w:rsidRPr="00236956" w:rsidRDefault="00262962" w:rsidP="004C390E">
            <w:pPr>
              <w:rPr>
                <w:rFonts w:asciiTheme="majorHAnsi" w:hAnsiTheme="majorHAnsi"/>
              </w:rPr>
            </w:pPr>
            <w:r w:rsidRPr="00236956">
              <w:rPr>
                <w:rFonts w:asciiTheme="majorHAnsi" w:hAnsiTheme="majorHAnsi"/>
              </w:rPr>
              <w:t>50%</w:t>
            </w:r>
          </w:p>
        </w:tc>
        <w:tc>
          <w:tcPr>
            <w:tcW w:w="1351" w:type="dxa"/>
          </w:tcPr>
          <w:p w14:paraId="582BC5E2" w14:textId="77777777" w:rsidR="00262962" w:rsidRPr="00236956" w:rsidRDefault="00262962" w:rsidP="004C390E">
            <w:pPr>
              <w:rPr>
                <w:rFonts w:asciiTheme="majorHAnsi" w:hAnsiTheme="majorHAnsi"/>
              </w:rPr>
            </w:pPr>
          </w:p>
        </w:tc>
      </w:tr>
      <w:tr w:rsidR="00262962" w:rsidRPr="00236956" w14:paraId="54F1D7F3" w14:textId="77777777" w:rsidTr="004C390E">
        <w:tc>
          <w:tcPr>
            <w:tcW w:w="6136" w:type="dxa"/>
          </w:tcPr>
          <w:p w14:paraId="732A344D" w14:textId="77777777" w:rsidR="00262962" w:rsidRPr="00236956" w:rsidRDefault="00262962" w:rsidP="004C390E">
            <w:pPr>
              <w:autoSpaceDE w:val="0"/>
              <w:autoSpaceDN w:val="0"/>
              <w:adjustRightInd w:val="0"/>
              <w:rPr>
                <w:rFonts w:asciiTheme="majorHAnsi" w:hAnsiTheme="majorHAnsi" w:cs="Arial"/>
                <w:bCs/>
                <w:color w:val="000000"/>
              </w:rPr>
            </w:pPr>
            <w:r w:rsidRPr="00236956">
              <w:rPr>
                <w:rFonts w:asciiTheme="majorHAnsi" w:hAnsiTheme="majorHAnsi" w:cs="Arial"/>
                <w:bCs/>
                <w:color w:val="000000"/>
              </w:rPr>
              <w:t>I have felt comfortable listening to a member of staff discussing a personal issue in relation to equality.</w:t>
            </w:r>
          </w:p>
        </w:tc>
        <w:tc>
          <w:tcPr>
            <w:tcW w:w="1529" w:type="dxa"/>
          </w:tcPr>
          <w:p w14:paraId="35256D94" w14:textId="77777777" w:rsidR="00262962" w:rsidRPr="00236956" w:rsidRDefault="00262962" w:rsidP="004C390E">
            <w:pPr>
              <w:rPr>
                <w:rFonts w:asciiTheme="majorHAnsi" w:hAnsiTheme="majorHAnsi"/>
              </w:rPr>
            </w:pPr>
            <w:r w:rsidRPr="00236956">
              <w:rPr>
                <w:rFonts w:asciiTheme="majorHAnsi" w:hAnsiTheme="majorHAnsi"/>
              </w:rPr>
              <w:t>50%</w:t>
            </w:r>
          </w:p>
        </w:tc>
        <w:tc>
          <w:tcPr>
            <w:tcW w:w="1351" w:type="dxa"/>
          </w:tcPr>
          <w:p w14:paraId="77E98720" w14:textId="77777777" w:rsidR="00262962" w:rsidRPr="00236956" w:rsidRDefault="00262962" w:rsidP="004C390E">
            <w:pPr>
              <w:rPr>
                <w:rFonts w:asciiTheme="majorHAnsi" w:hAnsiTheme="majorHAnsi"/>
              </w:rPr>
            </w:pPr>
          </w:p>
        </w:tc>
      </w:tr>
      <w:tr w:rsidR="00262962" w:rsidRPr="00236956" w14:paraId="55B93CCA" w14:textId="77777777" w:rsidTr="004C390E">
        <w:tc>
          <w:tcPr>
            <w:tcW w:w="6136" w:type="dxa"/>
          </w:tcPr>
          <w:p w14:paraId="5CF672E5" w14:textId="77777777" w:rsidR="00262962" w:rsidRPr="00236956" w:rsidRDefault="00262962" w:rsidP="004C390E">
            <w:pPr>
              <w:autoSpaceDE w:val="0"/>
              <w:autoSpaceDN w:val="0"/>
              <w:adjustRightInd w:val="0"/>
              <w:rPr>
                <w:rFonts w:asciiTheme="majorHAnsi" w:hAnsiTheme="majorHAnsi" w:cs="Arial"/>
                <w:bCs/>
                <w:color w:val="000000"/>
              </w:rPr>
            </w:pPr>
            <w:r w:rsidRPr="00236956">
              <w:rPr>
                <w:rFonts w:asciiTheme="majorHAnsi" w:hAnsiTheme="majorHAnsi" w:cs="Arial"/>
                <w:bCs/>
                <w:color w:val="000000"/>
              </w:rPr>
              <w:t>I have felt confident in the approach that I have taken to supporting a member of staff who has disclosed a personal equality issue to me.</w:t>
            </w:r>
          </w:p>
        </w:tc>
        <w:tc>
          <w:tcPr>
            <w:tcW w:w="1529" w:type="dxa"/>
          </w:tcPr>
          <w:p w14:paraId="75A2B16D" w14:textId="77777777" w:rsidR="00262962" w:rsidRPr="00236956" w:rsidRDefault="00262962" w:rsidP="004C390E">
            <w:pPr>
              <w:rPr>
                <w:rFonts w:asciiTheme="majorHAnsi" w:hAnsiTheme="majorHAnsi"/>
              </w:rPr>
            </w:pPr>
            <w:r w:rsidRPr="00236956">
              <w:rPr>
                <w:rFonts w:asciiTheme="majorHAnsi" w:hAnsiTheme="majorHAnsi"/>
              </w:rPr>
              <w:t>40%</w:t>
            </w:r>
          </w:p>
        </w:tc>
        <w:tc>
          <w:tcPr>
            <w:tcW w:w="1351" w:type="dxa"/>
          </w:tcPr>
          <w:p w14:paraId="7D7D948F" w14:textId="77777777" w:rsidR="00262962" w:rsidRPr="00236956" w:rsidRDefault="00262962" w:rsidP="004C390E">
            <w:pPr>
              <w:rPr>
                <w:rFonts w:asciiTheme="majorHAnsi" w:hAnsiTheme="majorHAnsi"/>
              </w:rPr>
            </w:pPr>
          </w:p>
        </w:tc>
      </w:tr>
    </w:tbl>
    <w:p w14:paraId="3E5E018D" w14:textId="77777777" w:rsidR="00262962" w:rsidRDefault="00262962" w:rsidP="00262962">
      <w:pPr>
        <w:autoSpaceDE w:val="0"/>
        <w:autoSpaceDN w:val="0"/>
        <w:adjustRightInd w:val="0"/>
        <w:spacing w:after="0" w:line="240" w:lineRule="auto"/>
        <w:rPr>
          <w:rFonts w:ascii="Arial" w:hAnsi="Arial" w:cs="Arial"/>
          <w:color w:val="404040"/>
          <w:sz w:val="23"/>
          <w:szCs w:val="23"/>
        </w:rPr>
      </w:pPr>
    </w:p>
    <w:p w14:paraId="376E54D7" w14:textId="41D4AB57" w:rsidR="00262962" w:rsidRPr="00CD08D7" w:rsidRDefault="00CD08D7" w:rsidP="00262962">
      <w:pPr>
        <w:autoSpaceDE w:val="0"/>
        <w:autoSpaceDN w:val="0"/>
        <w:adjustRightInd w:val="0"/>
        <w:spacing w:after="0" w:line="240" w:lineRule="auto"/>
        <w:rPr>
          <w:rFonts w:cs="Arial"/>
          <w:color w:val="404040"/>
          <w:sz w:val="23"/>
          <w:szCs w:val="23"/>
        </w:rPr>
      </w:pPr>
      <w:r w:rsidRPr="00CD08D7">
        <w:rPr>
          <w:rFonts w:cs="Arial"/>
          <w:color w:val="404040"/>
          <w:sz w:val="23"/>
          <w:szCs w:val="23"/>
        </w:rPr>
        <w:t xml:space="preserve">Staff survey data </w:t>
      </w:r>
      <w:r>
        <w:rPr>
          <w:rFonts w:cs="Arial"/>
          <w:color w:val="404040"/>
          <w:sz w:val="23"/>
          <w:szCs w:val="23"/>
        </w:rPr>
        <w:t>measures will increase as a result of the programme:</w:t>
      </w:r>
    </w:p>
    <w:p w14:paraId="4B277E6A" w14:textId="77777777" w:rsidR="00CD08D7" w:rsidRDefault="00CD08D7" w:rsidP="00262962">
      <w:pPr>
        <w:autoSpaceDE w:val="0"/>
        <w:autoSpaceDN w:val="0"/>
        <w:adjustRightInd w:val="0"/>
        <w:spacing w:after="0" w:line="240" w:lineRule="auto"/>
        <w:rPr>
          <w:rFonts w:ascii="Arial" w:hAnsi="Arial" w:cs="Arial"/>
          <w:color w:val="404040"/>
          <w:sz w:val="23"/>
          <w:szCs w:val="23"/>
        </w:rPr>
      </w:pPr>
    </w:p>
    <w:tbl>
      <w:tblPr>
        <w:tblStyle w:val="TableGrid"/>
        <w:tblW w:w="0" w:type="auto"/>
        <w:tblLook w:val="04A0" w:firstRow="1" w:lastRow="0" w:firstColumn="1" w:lastColumn="0" w:noHBand="0" w:noVBand="1"/>
      </w:tblPr>
      <w:tblGrid>
        <w:gridCol w:w="5043"/>
        <w:gridCol w:w="1381"/>
        <w:gridCol w:w="1340"/>
        <w:gridCol w:w="1252"/>
      </w:tblGrid>
      <w:tr w:rsidR="00262962" w14:paraId="78E1FED6" w14:textId="77777777" w:rsidTr="004C390E">
        <w:tc>
          <w:tcPr>
            <w:tcW w:w="5043" w:type="dxa"/>
            <w:tcBorders>
              <w:top w:val="single" w:sz="4" w:space="0" w:color="auto"/>
              <w:left w:val="single" w:sz="4" w:space="0" w:color="auto"/>
              <w:bottom w:val="single" w:sz="4" w:space="0" w:color="auto"/>
              <w:right w:val="single" w:sz="4" w:space="0" w:color="auto"/>
            </w:tcBorders>
          </w:tcPr>
          <w:p w14:paraId="1EB9950C" w14:textId="77777777" w:rsidR="00262962" w:rsidRPr="007A44E3" w:rsidRDefault="00262962" w:rsidP="004C390E">
            <w:pPr>
              <w:rPr>
                <w:b/>
              </w:rPr>
            </w:pPr>
            <w:r>
              <w:rPr>
                <w:b/>
              </w:rPr>
              <w:t xml:space="preserve">Staff Survey </w:t>
            </w:r>
            <w:r w:rsidRPr="007A44E3">
              <w:rPr>
                <w:b/>
              </w:rPr>
              <w:t>Index</w:t>
            </w:r>
          </w:p>
        </w:tc>
        <w:tc>
          <w:tcPr>
            <w:tcW w:w="1381" w:type="dxa"/>
            <w:tcBorders>
              <w:top w:val="single" w:sz="4" w:space="0" w:color="auto"/>
              <w:left w:val="single" w:sz="4" w:space="0" w:color="auto"/>
              <w:bottom w:val="single" w:sz="4" w:space="0" w:color="auto"/>
              <w:right w:val="single" w:sz="4" w:space="0" w:color="auto"/>
            </w:tcBorders>
            <w:hideMark/>
          </w:tcPr>
          <w:p w14:paraId="5097B823" w14:textId="77777777" w:rsidR="00262962" w:rsidRPr="007A44E3" w:rsidRDefault="00262962" w:rsidP="004C390E">
            <w:pPr>
              <w:rPr>
                <w:b/>
              </w:rPr>
            </w:pPr>
            <w:r w:rsidRPr="007A44E3">
              <w:rPr>
                <w:b/>
              </w:rPr>
              <w:t>2015</w:t>
            </w:r>
          </w:p>
        </w:tc>
        <w:tc>
          <w:tcPr>
            <w:tcW w:w="1340" w:type="dxa"/>
            <w:tcBorders>
              <w:top w:val="single" w:sz="4" w:space="0" w:color="auto"/>
              <w:left w:val="single" w:sz="4" w:space="0" w:color="auto"/>
              <w:bottom w:val="single" w:sz="4" w:space="0" w:color="auto"/>
              <w:right w:val="single" w:sz="4" w:space="0" w:color="auto"/>
            </w:tcBorders>
            <w:hideMark/>
          </w:tcPr>
          <w:p w14:paraId="677FFB31" w14:textId="77777777" w:rsidR="00262962" w:rsidRPr="007A44E3" w:rsidRDefault="00262962" w:rsidP="004C390E">
            <w:pPr>
              <w:rPr>
                <w:b/>
              </w:rPr>
            </w:pPr>
            <w:r w:rsidRPr="007A44E3">
              <w:rPr>
                <w:b/>
              </w:rPr>
              <w:t>2016</w:t>
            </w:r>
          </w:p>
        </w:tc>
        <w:tc>
          <w:tcPr>
            <w:tcW w:w="1252" w:type="dxa"/>
            <w:tcBorders>
              <w:top w:val="single" w:sz="4" w:space="0" w:color="auto"/>
              <w:left w:val="single" w:sz="4" w:space="0" w:color="auto"/>
              <w:bottom w:val="single" w:sz="4" w:space="0" w:color="auto"/>
              <w:right w:val="single" w:sz="4" w:space="0" w:color="auto"/>
            </w:tcBorders>
          </w:tcPr>
          <w:p w14:paraId="33D476E5" w14:textId="77777777" w:rsidR="00262962" w:rsidRPr="007A44E3" w:rsidRDefault="00262962" w:rsidP="004C390E">
            <w:pPr>
              <w:rPr>
                <w:b/>
              </w:rPr>
            </w:pPr>
            <w:r w:rsidRPr="007A44E3">
              <w:rPr>
                <w:b/>
              </w:rPr>
              <w:t>Target</w:t>
            </w:r>
          </w:p>
        </w:tc>
      </w:tr>
      <w:tr w:rsidR="00262962" w14:paraId="00FB0649" w14:textId="77777777" w:rsidTr="00CD08D7">
        <w:trPr>
          <w:trHeight w:val="87"/>
        </w:trPr>
        <w:tc>
          <w:tcPr>
            <w:tcW w:w="5043" w:type="dxa"/>
            <w:tcBorders>
              <w:top w:val="single" w:sz="4" w:space="0" w:color="auto"/>
              <w:left w:val="single" w:sz="4" w:space="0" w:color="auto"/>
              <w:bottom w:val="single" w:sz="4" w:space="0" w:color="auto"/>
              <w:right w:val="single" w:sz="4" w:space="0" w:color="auto"/>
            </w:tcBorders>
            <w:hideMark/>
          </w:tcPr>
          <w:p w14:paraId="10FA5B2B" w14:textId="77777777" w:rsidR="00262962" w:rsidRDefault="00262962" w:rsidP="004C390E">
            <w:r>
              <w:t>Inclusiveness</w:t>
            </w:r>
          </w:p>
        </w:tc>
        <w:tc>
          <w:tcPr>
            <w:tcW w:w="1381" w:type="dxa"/>
            <w:tcBorders>
              <w:top w:val="single" w:sz="4" w:space="0" w:color="auto"/>
              <w:left w:val="single" w:sz="4" w:space="0" w:color="auto"/>
              <w:bottom w:val="single" w:sz="4" w:space="0" w:color="auto"/>
              <w:right w:val="single" w:sz="4" w:space="0" w:color="auto"/>
            </w:tcBorders>
            <w:hideMark/>
          </w:tcPr>
          <w:p w14:paraId="6F884B2C" w14:textId="77777777" w:rsidR="00262962" w:rsidRDefault="00262962" w:rsidP="004C390E">
            <w:r>
              <w:t>5.48</w:t>
            </w:r>
          </w:p>
        </w:tc>
        <w:tc>
          <w:tcPr>
            <w:tcW w:w="1340" w:type="dxa"/>
            <w:tcBorders>
              <w:top w:val="single" w:sz="4" w:space="0" w:color="auto"/>
              <w:left w:val="single" w:sz="4" w:space="0" w:color="auto"/>
              <w:bottom w:val="single" w:sz="4" w:space="0" w:color="auto"/>
              <w:right w:val="single" w:sz="4" w:space="0" w:color="auto"/>
            </w:tcBorders>
            <w:hideMark/>
          </w:tcPr>
          <w:p w14:paraId="5AB8CCEC" w14:textId="77777777" w:rsidR="00262962" w:rsidRDefault="00262962" w:rsidP="004C390E">
            <w:r>
              <w:t>5.70</w:t>
            </w:r>
          </w:p>
        </w:tc>
        <w:tc>
          <w:tcPr>
            <w:tcW w:w="1252" w:type="dxa"/>
            <w:tcBorders>
              <w:top w:val="single" w:sz="4" w:space="0" w:color="auto"/>
              <w:left w:val="single" w:sz="4" w:space="0" w:color="auto"/>
              <w:bottom w:val="single" w:sz="4" w:space="0" w:color="auto"/>
              <w:right w:val="single" w:sz="4" w:space="0" w:color="auto"/>
            </w:tcBorders>
          </w:tcPr>
          <w:p w14:paraId="7E9A4FF9" w14:textId="77777777" w:rsidR="00262962" w:rsidRDefault="00262962" w:rsidP="004C390E"/>
        </w:tc>
      </w:tr>
      <w:tr w:rsidR="00262962" w14:paraId="5D9E9232" w14:textId="77777777" w:rsidTr="004C390E">
        <w:tc>
          <w:tcPr>
            <w:tcW w:w="5043" w:type="dxa"/>
            <w:tcBorders>
              <w:top w:val="single" w:sz="4" w:space="0" w:color="auto"/>
              <w:left w:val="single" w:sz="4" w:space="0" w:color="auto"/>
              <w:bottom w:val="single" w:sz="4" w:space="0" w:color="auto"/>
              <w:right w:val="single" w:sz="4" w:space="0" w:color="auto"/>
            </w:tcBorders>
          </w:tcPr>
          <w:p w14:paraId="392CD7B1" w14:textId="77777777" w:rsidR="00262962" w:rsidRPr="007A44E3" w:rsidRDefault="00262962" w:rsidP="004C390E">
            <w:pPr>
              <w:ind w:firstLine="29"/>
            </w:pPr>
            <w:r w:rsidRPr="007A44E3">
              <w:t xml:space="preserve">Wellbeing </w:t>
            </w:r>
          </w:p>
        </w:tc>
        <w:tc>
          <w:tcPr>
            <w:tcW w:w="1381" w:type="dxa"/>
            <w:tcBorders>
              <w:top w:val="single" w:sz="4" w:space="0" w:color="auto"/>
              <w:left w:val="single" w:sz="4" w:space="0" w:color="auto"/>
              <w:bottom w:val="single" w:sz="4" w:space="0" w:color="auto"/>
              <w:right w:val="single" w:sz="4" w:space="0" w:color="auto"/>
            </w:tcBorders>
          </w:tcPr>
          <w:p w14:paraId="085B6B7C" w14:textId="77777777" w:rsidR="00262962" w:rsidRDefault="00262962" w:rsidP="004C390E">
            <w:r>
              <w:t>5.08</w:t>
            </w:r>
          </w:p>
        </w:tc>
        <w:tc>
          <w:tcPr>
            <w:tcW w:w="1340" w:type="dxa"/>
            <w:tcBorders>
              <w:top w:val="single" w:sz="4" w:space="0" w:color="auto"/>
              <w:left w:val="single" w:sz="4" w:space="0" w:color="auto"/>
              <w:bottom w:val="single" w:sz="4" w:space="0" w:color="auto"/>
              <w:right w:val="single" w:sz="4" w:space="0" w:color="auto"/>
            </w:tcBorders>
          </w:tcPr>
          <w:p w14:paraId="36372C3E" w14:textId="77777777" w:rsidR="00262962" w:rsidRDefault="00262962" w:rsidP="004C390E">
            <w:r>
              <w:t>5.27</w:t>
            </w:r>
          </w:p>
        </w:tc>
        <w:tc>
          <w:tcPr>
            <w:tcW w:w="1252" w:type="dxa"/>
            <w:tcBorders>
              <w:top w:val="single" w:sz="4" w:space="0" w:color="auto"/>
              <w:left w:val="single" w:sz="4" w:space="0" w:color="auto"/>
              <w:bottom w:val="single" w:sz="4" w:space="0" w:color="auto"/>
              <w:right w:val="single" w:sz="4" w:space="0" w:color="auto"/>
            </w:tcBorders>
          </w:tcPr>
          <w:p w14:paraId="7DA92933" w14:textId="77777777" w:rsidR="00262962" w:rsidRDefault="00262962" w:rsidP="004C390E"/>
        </w:tc>
      </w:tr>
      <w:tr w:rsidR="00262962" w14:paraId="0387336E" w14:textId="77777777" w:rsidTr="004C390E">
        <w:tc>
          <w:tcPr>
            <w:tcW w:w="5043" w:type="dxa"/>
            <w:tcBorders>
              <w:top w:val="single" w:sz="4" w:space="0" w:color="auto"/>
              <w:left w:val="single" w:sz="4" w:space="0" w:color="auto"/>
              <w:bottom w:val="single" w:sz="4" w:space="0" w:color="auto"/>
              <w:right w:val="single" w:sz="4" w:space="0" w:color="auto"/>
            </w:tcBorders>
            <w:hideMark/>
          </w:tcPr>
          <w:p w14:paraId="275B6DFE" w14:textId="77777777" w:rsidR="00262962" w:rsidRPr="007A44E3" w:rsidRDefault="00262962" w:rsidP="004C390E">
            <w:pPr>
              <w:ind w:firstLine="29"/>
            </w:pPr>
            <w:r w:rsidRPr="007A44E3">
              <w:t xml:space="preserve">Personal Growth </w:t>
            </w:r>
          </w:p>
        </w:tc>
        <w:tc>
          <w:tcPr>
            <w:tcW w:w="1381" w:type="dxa"/>
            <w:tcBorders>
              <w:top w:val="single" w:sz="4" w:space="0" w:color="auto"/>
              <w:left w:val="single" w:sz="4" w:space="0" w:color="auto"/>
              <w:bottom w:val="single" w:sz="4" w:space="0" w:color="auto"/>
              <w:right w:val="single" w:sz="4" w:space="0" w:color="auto"/>
            </w:tcBorders>
            <w:hideMark/>
          </w:tcPr>
          <w:p w14:paraId="79977D57" w14:textId="77777777" w:rsidR="00262962" w:rsidRDefault="00262962" w:rsidP="004C390E">
            <w:r>
              <w:t>5.30</w:t>
            </w:r>
          </w:p>
        </w:tc>
        <w:tc>
          <w:tcPr>
            <w:tcW w:w="1340" w:type="dxa"/>
            <w:tcBorders>
              <w:top w:val="single" w:sz="4" w:space="0" w:color="auto"/>
              <w:left w:val="single" w:sz="4" w:space="0" w:color="auto"/>
              <w:bottom w:val="single" w:sz="4" w:space="0" w:color="auto"/>
              <w:right w:val="single" w:sz="4" w:space="0" w:color="auto"/>
            </w:tcBorders>
            <w:hideMark/>
          </w:tcPr>
          <w:p w14:paraId="43B06B2A" w14:textId="77777777" w:rsidR="00262962" w:rsidRDefault="00262962" w:rsidP="004C390E">
            <w:r>
              <w:t>5.34</w:t>
            </w:r>
          </w:p>
        </w:tc>
        <w:tc>
          <w:tcPr>
            <w:tcW w:w="1252" w:type="dxa"/>
            <w:tcBorders>
              <w:top w:val="single" w:sz="4" w:space="0" w:color="auto"/>
              <w:left w:val="single" w:sz="4" w:space="0" w:color="auto"/>
              <w:bottom w:val="single" w:sz="4" w:space="0" w:color="auto"/>
              <w:right w:val="single" w:sz="4" w:space="0" w:color="auto"/>
            </w:tcBorders>
          </w:tcPr>
          <w:p w14:paraId="620C0E23" w14:textId="77777777" w:rsidR="00262962" w:rsidRDefault="00262962" w:rsidP="004C390E"/>
        </w:tc>
      </w:tr>
      <w:tr w:rsidR="00262962" w14:paraId="58BA272A" w14:textId="77777777" w:rsidTr="004C390E">
        <w:tc>
          <w:tcPr>
            <w:tcW w:w="5043" w:type="dxa"/>
            <w:tcBorders>
              <w:top w:val="single" w:sz="4" w:space="0" w:color="auto"/>
              <w:left w:val="single" w:sz="4" w:space="0" w:color="auto"/>
              <w:bottom w:val="single" w:sz="4" w:space="0" w:color="auto"/>
              <w:right w:val="single" w:sz="4" w:space="0" w:color="auto"/>
            </w:tcBorders>
            <w:hideMark/>
          </w:tcPr>
          <w:p w14:paraId="74CCA6D9" w14:textId="77777777" w:rsidR="00262962" w:rsidRPr="007A44E3" w:rsidRDefault="00262962" w:rsidP="004C390E">
            <w:pPr>
              <w:ind w:firstLine="29"/>
            </w:pPr>
            <w:r w:rsidRPr="007A44E3">
              <w:t>Motivation</w:t>
            </w:r>
          </w:p>
        </w:tc>
        <w:tc>
          <w:tcPr>
            <w:tcW w:w="1381" w:type="dxa"/>
            <w:tcBorders>
              <w:top w:val="single" w:sz="4" w:space="0" w:color="auto"/>
              <w:left w:val="single" w:sz="4" w:space="0" w:color="auto"/>
              <w:bottom w:val="single" w:sz="4" w:space="0" w:color="auto"/>
              <w:right w:val="single" w:sz="4" w:space="0" w:color="auto"/>
            </w:tcBorders>
            <w:hideMark/>
          </w:tcPr>
          <w:p w14:paraId="6A29D342" w14:textId="77777777" w:rsidR="00262962" w:rsidRDefault="00262962" w:rsidP="004C390E">
            <w:r>
              <w:t>5.76</w:t>
            </w:r>
          </w:p>
        </w:tc>
        <w:tc>
          <w:tcPr>
            <w:tcW w:w="1340" w:type="dxa"/>
            <w:tcBorders>
              <w:top w:val="single" w:sz="4" w:space="0" w:color="auto"/>
              <w:left w:val="single" w:sz="4" w:space="0" w:color="auto"/>
              <w:bottom w:val="single" w:sz="4" w:space="0" w:color="auto"/>
              <w:right w:val="single" w:sz="4" w:space="0" w:color="auto"/>
            </w:tcBorders>
            <w:hideMark/>
          </w:tcPr>
          <w:p w14:paraId="619A71B4" w14:textId="77777777" w:rsidR="00262962" w:rsidRDefault="00262962" w:rsidP="004C390E">
            <w:r>
              <w:t>5.92</w:t>
            </w:r>
          </w:p>
        </w:tc>
        <w:tc>
          <w:tcPr>
            <w:tcW w:w="1252" w:type="dxa"/>
            <w:tcBorders>
              <w:top w:val="single" w:sz="4" w:space="0" w:color="auto"/>
              <w:left w:val="single" w:sz="4" w:space="0" w:color="auto"/>
              <w:bottom w:val="single" w:sz="4" w:space="0" w:color="auto"/>
              <w:right w:val="single" w:sz="4" w:space="0" w:color="auto"/>
            </w:tcBorders>
          </w:tcPr>
          <w:p w14:paraId="7D08E15A" w14:textId="77777777" w:rsidR="00262962" w:rsidRDefault="00262962" w:rsidP="004C390E"/>
        </w:tc>
      </w:tr>
      <w:tr w:rsidR="00262962" w:rsidRPr="007A44E3" w14:paraId="5762D790" w14:textId="77777777" w:rsidTr="004C390E">
        <w:tc>
          <w:tcPr>
            <w:tcW w:w="5043" w:type="dxa"/>
            <w:tcBorders>
              <w:top w:val="single" w:sz="4" w:space="0" w:color="auto"/>
              <w:left w:val="single" w:sz="4" w:space="0" w:color="auto"/>
              <w:bottom w:val="single" w:sz="4" w:space="0" w:color="auto"/>
              <w:right w:val="single" w:sz="4" w:space="0" w:color="auto"/>
            </w:tcBorders>
            <w:hideMark/>
          </w:tcPr>
          <w:p w14:paraId="787D5EA1" w14:textId="77777777" w:rsidR="00262962" w:rsidRPr="007A44E3" w:rsidRDefault="00262962" w:rsidP="004C390E">
            <w:pPr>
              <w:ind w:firstLine="29"/>
            </w:pPr>
            <w:r w:rsidRPr="007A44E3">
              <w:t xml:space="preserve">My Manager </w:t>
            </w:r>
          </w:p>
        </w:tc>
        <w:tc>
          <w:tcPr>
            <w:tcW w:w="1381" w:type="dxa"/>
            <w:tcBorders>
              <w:top w:val="single" w:sz="4" w:space="0" w:color="auto"/>
              <w:left w:val="single" w:sz="4" w:space="0" w:color="auto"/>
              <w:bottom w:val="single" w:sz="4" w:space="0" w:color="auto"/>
              <w:right w:val="single" w:sz="4" w:space="0" w:color="auto"/>
            </w:tcBorders>
            <w:hideMark/>
          </w:tcPr>
          <w:p w14:paraId="7CA447A9" w14:textId="77777777" w:rsidR="00262962" w:rsidRPr="007A44E3" w:rsidRDefault="00262962" w:rsidP="004C390E">
            <w:r w:rsidRPr="007A44E3">
              <w:t>5.71</w:t>
            </w:r>
          </w:p>
        </w:tc>
        <w:tc>
          <w:tcPr>
            <w:tcW w:w="1340" w:type="dxa"/>
            <w:tcBorders>
              <w:top w:val="single" w:sz="4" w:space="0" w:color="auto"/>
              <w:left w:val="single" w:sz="4" w:space="0" w:color="auto"/>
              <w:bottom w:val="single" w:sz="4" w:space="0" w:color="auto"/>
              <w:right w:val="single" w:sz="4" w:space="0" w:color="auto"/>
            </w:tcBorders>
            <w:hideMark/>
          </w:tcPr>
          <w:p w14:paraId="455E244B" w14:textId="77777777" w:rsidR="00262962" w:rsidRPr="007A44E3" w:rsidRDefault="00262962" w:rsidP="004C390E">
            <w:r w:rsidRPr="007A44E3">
              <w:t>5.79</w:t>
            </w:r>
          </w:p>
        </w:tc>
        <w:tc>
          <w:tcPr>
            <w:tcW w:w="1252" w:type="dxa"/>
            <w:tcBorders>
              <w:top w:val="single" w:sz="4" w:space="0" w:color="auto"/>
              <w:left w:val="single" w:sz="4" w:space="0" w:color="auto"/>
              <w:bottom w:val="single" w:sz="4" w:space="0" w:color="auto"/>
              <w:right w:val="single" w:sz="4" w:space="0" w:color="auto"/>
            </w:tcBorders>
          </w:tcPr>
          <w:p w14:paraId="47A31B80" w14:textId="77777777" w:rsidR="00262962" w:rsidRPr="007A44E3" w:rsidRDefault="00262962" w:rsidP="004C390E"/>
        </w:tc>
      </w:tr>
    </w:tbl>
    <w:p w14:paraId="05F495E5" w14:textId="77777777" w:rsidR="00262962" w:rsidRDefault="00262962" w:rsidP="00262962">
      <w:pPr>
        <w:autoSpaceDE w:val="0"/>
        <w:autoSpaceDN w:val="0"/>
        <w:adjustRightInd w:val="0"/>
        <w:spacing w:after="0" w:line="240" w:lineRule="auto"/>
        <w:rPr>
          <w:rFonts w:ascii="Arial" w:hAnsi="Arial" w:cs="Arial"/>
          <w:color w:val="404040"/>
          <w:sz w:val="23"/>
          <w:szCs w:val="23"/>
        </w:rPr>
      </w:pPr>
    </w:p>
    <w:p w14:paraId="783EC7D8" w14:textId="77777777" w:rsidR="002411BB" w:rsidRDefault="002411BB">
      <w:pPr>
        <w:rPr>
          <w:b/>
        </w:rPr>
      </w:pPr>
    </w:p>
    <w:sectPr w:rsidR="00241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1542"/>
    <w:multiLevelType w:val="hybridMultilevel"/>
    <w:tmpl w:val="66C03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229D9"/>
    <w:multiLevelType w:val="hybridMultilevel"/>
    <w:tmpl w:val="55249C12"/>
    <w:lvl w:ilvl="0" w:tplc="08090001">
      <w:start w:val="1"/>
      <w:numFmt w:val="bullet"/>
      <w:lvlText w:val=""/>
      <w:lvlJc w:val="left"/>
      <w:pPr>
        <w:tabs>
          <w:tab w:val="num" w:pos="720"/>
        </w:tabs>
        <w:ind w:left="720" w:hanging="360"/>
      </w:pPr>
      <w:rPr>
        <w:rFonts w:ascii="Symbol" w:hAnsi="Symbol" w:hint="default"/>
      </w:rPr>
    </w:lvl>
    <w:lvl w:ilvl="1" w:tplc="310E2B82" w:tentative="1">
      <w:start w:val="1"/>
      <w:numFmt w:val="bullet"/>
      <w:lvlText w:val=""/>
      <w:lvlJc w:val="left"/>
      <w:pPr>
        <w:tabs>
          <w:tab w:val="num" w:pos="1440"/>
        </w:tabs>
        <w:ind w:left="1440" w:hanging="360"/>
      </w:pPr>
      <w:rPr>
        <w:rFonts w:ascii="Wingdings" w:hAnsi="Wingdings" w:hint="default"/>
      </w:rPr>
    </w:lvl>
    <w:lvl w:ilvl="2" w:tplc="63148D58" w:tentative="1">
      <w:start w:val="1"/>
      <w:numFmt w:val="bullet"/>
      <w:lvlText w:val=""/>
      <w:lvlJc w:val="left"/>
      <w:pPr>
        <w:tabs>
          <w:tab w:val="num" w:pos="2160"/>
        </w:tabs>
        <w:ind w:left="2160" w:hanging="360"/>
      </w:pPr>
      <w:rPr>
        <w:rFonts w:ascii="Wingdings" w:hAnsi="Wingdings" w:hint="default"/>
      </w:rPr>
    </w:lvl>
    <w:lvl w:ilvl="3" w:tplc="0BD0A4B0" w:tentative="1">
      <w:start w:val="1"/>
      <w:numFmt w:val="bullet"/>
      <w:lvlText w:val=""/>
      <w:lvlJc w:val="left"/>
      <w:pPr>
        <w:tabs>
          <w:tab w:val="num" w:pos="2880"/>
        </w:tabs>
        <w:ind w:left="2880" w:hanging="360"/>
      </w:pPr>
      <w:rPr>
        <w:rFonts w:ascii="Wingdings" w:hAnsi="Wingdings" w:hint="default"/>
      </w:rPr>
    </w:lvl>
    <w:lvl w:ilvl="4" w:tplc="7CCC0E82" w:tentative="1">
      <w:start w:val="1"/>
      <w:numFmt w:val="bullet"/>
      <w:lvlText w:val=""/>
      <w:lvlJc w:val="left"/>
      <w:pPr>
        <w:tabs>
          <w:tab w:val="num" w:pos="3600"/>
        </w:tabs>
        <w:ind w:left="3600" w:hanging="360"/>
      </w:pPr>
      <w:rPr>
        <w:rFonts w:ascii="Wingdings" w:hAnsi="Wingdings" w:hint="default"/>
      </w:rPr>
    </w:lvl>
    <w:lvl w:ilvl="5" w:tplc="FDA40078" w:tentative="1">
      <w:start w:val="1"/>
      <w:numFmt w:val="bullet"/>
      <w:lvlText w:val=""/>
      <w:lvlJc w:val="left"/>
      <w:pPr>
        <w:tabs>
          <w:tab w:val="num" w:pos="4320"/>
        </w:tabs>
        <w:ind w:left="4320" w:hanging="360"/>
      </w:pPr>
      <w:rPr>
        <w:rFonts w:ascii="Wingdings" w:hAnsi="Wingdings" w:hint="default"/>
      </w:rPr>
    </w:lvl>
    <w:lvl w:ilvl="6" w:tplc="4DF65890" w:tentative="1">
      <w:start w:val="1"/>
      <w:numFmt w:val="bullet"/>
      <w:lvlText w:val=""/>
      <w:lvlJc w:val="left"/>
      <w:pPr>
        <w:tabs>
          <w:tab w:val="num" w:pos="5040"/>
        </w:tabs>
        <w:ind w:left="5040" w:hanging="360"/>
      </w:pPr>
      <w:rPr>
        <w:rFonts w:ascii="Wingdings" w:hAnsi="Wingdings" w:hint="default"/>
      </w:rPr>
    </w:lvl>
    <w:lvl w:ilvl="7" w:tplc="E8C44F5E" w:tentative="1">
      <w:start w:val="1"/>
      <w:numFmt w:val="bullet"/>
      <w:lvlText w:val=""/>
      <w:lvlJc w:val="left"/>
      <w:pPr>
        <w:tabs>
          <w:tab w:val="num" w:pos="5760"/>
        </w:tabs>
        <w:ind w:left="5760" w:hanging="360"/>
      </w:pPr>
      <w:rPr>
        <w:rFonts w:ascii="Wingdings" w:hAnsi="Wingdings" w:hint="default"/>
      </w:rPr>
    </w:lvl>
    <w:lvl w:ilvl="8" w:tplc="5664A9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F6FE6"/>
    <w:multiLevelType w:val="hybridMultilevel"/>
    <w:tmpl w:val="4D564A4E"/>
    <w:lvl w:ilvl="0" w:tplc="1910D6DC">
      <w:start w:val="1"/>
      <w:numFmt w:val="bullet"/>
      <w:lvlText w:val="•"/>
      <w:lvlJc w:val="left"/>
      <w:pPr>
        <w:tabs>
          <w:tab w:val="num" w:pos="720"/>
        </w:tabs>
        <w:ind w:left="720" w:hanging="360"/>
      </w:pPr>
      <w:rPr>
        <w:rFonts w:ascii="Arial" w:hAnsi="Arial" w:hint="default"/>
      </w:rPr>
    </w:lvl>
    <w:lvl w:ilvl="1" w:tplc="41604BBA" w:tentative="1">
      <w:start w:val="1"/>
      <w:numFmt w:val="bullet"/>
      <w:lvlText w:val="•"/>
      <w:lvlJc w:val="left"/>
      <w:pPr>
        <w:tabs>
          <w:tab w:val="num" w:pos="1440"/>
        </w:tabs>
        <w:ind w:left="1440" w:hanging="360"/>
      </w:pPr>
      <w:rPr>
        <w:rFonts w:ascii="Arial" w:hAnsi="Arial" w:hint="default"/>
      </w:rPr>
    </w:lvl>
    <w:lvl w:ilvl="2" w:tplc="A15CD9DC" w:tentative="1">
      <w:start w:val="1"/>
      <w:numFmt w:val="bullet"/>
      <w:lvlText w:val="•"/>
      <w:lvlJc w:val="left"/>
      <w:pPr>
        <w:tabs>
          <w:tab w:val="num" w:pos="2160"/>
        </w:tabs>
        <w:ind w:left="2160" w:hanging="360"/>
      </w:pPr>
      <w:rPr>
        <w:rFonts w:ascii="Arial" w:hAnsi="Arial" w:hint="default"/>
      </w:rPr>
    </w:lvl>
    <w:lvl w:ilvl="3" w:tplc="644E9722" w:tentative="1">
      <w:start w:val="1"/>
      <w:numFmt w:val="bullet"/>
      <w:lvlText w:val="•"/>
      <w:lvlJc w:val="left"/>
      <w:pPr>
        <w:tabs>
          <w:tab w:val="num" w:pos="2880"/>
        </w:tabs>
        <w:ind w:left="2880" w:hanging="360"/>
      </w:pPr>
      <w:rPr>
        <w:rFonts w:ascii="Arial" w:hAnsi="Arial" w:hint="default"/>
      </w:rPr>
    </w:lvl>
    <w:lvl w:ilvl="4" w:tplc="8DDCD3EE" w:tentative="1">
      <w:start w:val="1"/>
      <w:numFmt w:val="bullet"/>
      <w:lvlText w:val="•"/>
      <w:lvlJc w:val="left"/>
      <w:pPr>
        <w:tabs>
          <w:tab w:val="num" w:pos="3600"/>
        </w:tabs>
        <w:ind w:left="3600" w:hanging="360"/>
      </w:pPr>
      <w:rPr>
        <w:rFonts w:ascii="Arial" w:hAnsi="Arial" w:hint="default"/>
      </w:rPr>
    </w:lvl>
    <w:lvl w:ilvl="5" w:tplc="EAFC8204" w:tentative="1">
      <w:start w:val="1"/>
      <w:numFmt w:val="bullet"/>
      <w:lvlText w:val="•"/>
      <w:lvlJc w:val="left"/>
      <w:pPr>
        <w:tabs>
          <w:tab w:val="num" w:pos="4320"/>
        </w:tabs>
        <w:ind w:left="4320" w:hanging="360"/>
      </w:pPr>
      <w:rPr>
        <w:rFonts w:ascii="Arial" w:hAnsi="Arial" w:hint="default"/>
      </w:rPr>
    </w:lvl>
    <w:lvl w:ilvl="6" w:tplc="52563662" w:tentative="1">
      <w:start w:val="1"/>
      <w:numFmt w:val="bullet"/>
      <w:lvlText w:val="•"/>
      <w:lvlJc w:val="left"/>
      <w:pPr>
        <w:tabs>
          <w:tab w:val="num" w:pos="5040"/>
        </w:tabs>
        <w:ind w:left="5040" w:hanging="360"/>
      </w:pPr>
      <w:rPr>
        <w:rFonts w:ascii="Arial" w:hAnsi="Arial" w:hint="default"/>
      </w:rPr>
    </w:lvl>
    <w:lvl w:ilvl="7" w:tplc="A0461F8C" w:tentative="1">
      <w:start w:val="1"/>
      <w:numFmt w:val="bullet"/>
      <w:lvlText w:val="•"/>
      <w:lvlJc w:val="left"/>
      <w:pPr>
        <w:tabs>
          <w:tab w:val="num" w:pos="5760"/>
        </w:tabs>
        <w:ind w:left="5760" w:hanging="360"/>
      </w:pPr>
      <w:rPr>
        <w:rFonts w:ascii="Arial" w:hAnsi="Arial" w:hint="default"/>
      </w:rPr>
    </w:lvl>
    <w:lvl w:ilvl="8" w:tplc="A8BCAC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36665A"/>
    <w:multiLevelType w:val="hybridMultilevel"/>
    <w:tmpl w:val="8DA0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D55D1"/>
    <w:multiLevelType w:val="hybridMultilevel"/>
    <w:tmpl w:val="F36AA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E3C4F"/>
    <w:multiLevelType w:val="hybridMultilevel"/>
    <w:tmpl w:val="E368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A3D99"/>
    <w:multiLevelType w:val="hybridMultilevel"/>
    <w:tmpl w:val="AB9AA664"/>
    <w:lvl w:ilvl="0" w:tplc="DFB84514">
      <w:start w:val="1"/>
      <w:numFmt w:val="bullet"/>
      <w:lvlText w:val="•"/>
      <w:lvlJc w:val="left"/>
      <w:pPr>
        <w:tabs>
          <w:tab w:val="num" w:pos="720"/>
        </w:tabs>
        <w:ind w:left="720" w:hanging="360"/>
      </w:pPr>
      <w:rPr>
        <w:rFonts w:ascii="Times New Roman" w:hAnsi="Times New Roman" w:hint="default"/>
      </w:rPr>
    </w:lvl>
    <w:lvl w:ilvl="1" w:tplc="79FE9CBA" w:tentative="1">
      <w:start w:val="1"/>
      <w:numFmt w:val="bullet"/>
      <w:lvlText w:val="•"/>
      <w:lvlJc w:val="left"/>
      <w:pPr>
        <w:tabs>
          <w:tab w:val="num" w:pos="1440"/>
        </w:tabs>
        <w:ind w:left="1440" w:hanging="360"/>
      </w:pPr>
      <w:rPr>
        <w:rFonts w:ascii="Times New Roman" w:hAnsi="Times New Roman" w:hint="default"/>
      </w:rPr>
    </w:lvl>
    <w:lvl w:ilvl="2" w:tplc="38429406" w:tentative="1">
      <w:start w:val="1"/>
      <w:numFmt w:val="bullet"/>
      <w:lvlText w:val="•"/>
      <w:lvlJc w:val="left"/>
      <w:pPr>
        <w:tabs>
          <w:tab w:val="num" w:pos="2160"/>
        </w:tabs>
        <w:ind w:left="2160" w:hanging="360"/>
      </w:pPr>
      <w:rPr>
        <w:rFonts w:ascii="Times New Roman" w:hAnsi="Times New Roman" w:hint="default"/>
      </w:rPr>
    </w:lvl>
    <w:lvl w:ilvl="3" w:tplc="3D9621A6" w:tentative="1">
      <w:start w:val="1"/>
      <w:numFmt w:val="bullet"/>
      <w:lvlText w:val="•"/>
      <w:lvlJc w:val="left"/>
      <w:pPr>
        <w:tabs>
          <w:tab w:val="num" w:pos="2880"/>
        </w:tabs>
        <w:ind w:left="2880" w:hanging="360"/>
      </w:pPr>
      <w:rPr>
        <w:rFonts w:ascii="Times New Roman" w:hAnsi="Times New Roman" w:hint="default"/>
      </w:rPr>
    </w:lvl>
    <w:lvl w:ilvl="4" w:tplc="3462FAE2" w:tentative="1">
      <w:start w:val="1"/>
      <w:numFmt w:val="bullet"/>
      <w:lvlText w:val="•"/>
      <w:lvlJc w:val="left"/>
      <w:pPr>
        <w:tabs>
          <w:tab w:val="num" w:pos="3600"/>
        </w:tabs>
        <w:ind w:left="3600" w:hanging="360"/>
      </w:pPr>
      <w:rPr>
        <w:rFonts w:ascii="Times New Roman" w:hAnsi="Times New Roman" w:hint="default"/>
      </w:rPr>
    </w:lvl>
    <w:lvl w:ilvl="5" w:tplc="729C359E" w:tentative="1">
      <w:start w:val="1"/>
      <w:numFmt w:val="bullet"/>
      <w:lvlText w:val="•"/>
      <w:lvlJc w:val="left"/>
      <w:pPr>
        <w:tabs>
          <w:tab w:val="num" w:pos="4320"/>
        </w:tabs>
        <w:ind w:left="4320" w:hanging="360"/>
      </w:pPr>
      <w:rPr>
        <w:rFonts w:ascii="Times New Roman" w:hAnsi="Times New Roman" w:hint="default"/>
      </w:rPr>
    </w:lvl>
    <w:lvl w:ilvl="6" w:tplc="3E52248C" w:tentative="1">
      <w:start w:val="1"/>
      <w:numFmt w:val="bullet"/>
      <w:lvlText w:val="•"/>
      <w:lvlJc w:val="left"/>
      <w:pPr>
        <w:tabs>
          <w:tab w:val="num" w:pos="5040"/>
        </w:tabs>
        <w:ind w:left="5040" w:hanging="360"/>
      </w:pPr>
      <w:rPr>
        <w:rFonts w:ascii="Times New Roman" w:hAnsi="Times New Roman" w:hint="default"/>
      </w:rPr>
    </w:lvl>
    <w:lvl w:ilvl="7" w:tplc="9BEC5DA6" w:tentative="1">
      <w:start w:val="1"/>
      <w:numFmt w:val="bullet"/>
      <w:lvlText w:val="•"/>
      <w:lvlJc w:val="left"/>
      <w:pPr>
        <w:tabs>
          <w:tab w:val="num" w:pos="5760"/>
        </w:tabs>
        <w:ind w:left="5760" w:hanging="360"/>
      </w:pPr>
      <w:rPr>
        <w:rFonts w:ascii="Times New Roman" w:hAnsi="Times New Roman" w:hint="default"/>
      </w:rPr>
    </w:lvl>
    <w:lvl w:ilvl="8" w:tplc="3942F13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53117C"/>
    <w:multiLevelType w:val="hybridMultilevel"/>
    <w:tmpl w:val="0A7A4884"/>
    <w:lvl w:ilvl="0" w:tplc="0809000B">
      <w:start w:val="1"/>
      <w:numFmt w:val="bullet"/>
      <w:lvlText w:val=""/>
      <w:lvlJc w:val="left"/>
      <w:pPr>
        <w:tabs>
          <w:tab w:val="num" w:pos="720"/>
        </w:tabs>
        <w:ind w:left="720" w:hanging="360"/>
      </w:pPr>
      <w:rPr>
        <w:rFonts w:ascii="Wingdings" w:hAnsi="Wingdings" w:hint="default"/>
      </w:rPr>
    </w:lvl>
    <w:lvl w:ilvl="1" w:tplc="310E2B82" w:tentative="1">
      <w:start w:val="1"/>
      <w:numFmt w:val="bullet"/>
      <w:lvlText w:val=""/>
      <w:lvlJc w:val="left"/>
      <w:pPr>
        <w:tabs>
          <w:tab w:val="num" w:pos="1440"/>
        </w:tabs>
        <w:ind w:left="1440" w:hanging="360"/>
      </w:pPr>
      <w:rPr>
        <w:rFonts w:ascii="Wingdings" w:hAnsi="Wingdings" w:hint="default"/>
      </w:rPr>
    </w:lvl>
    <w:lvl w:ilvl="2" w:tplc="63148D58" w:tentative="1">
      <w:start w:val="1"/>
      <w:numFmt w:val="bullet"/>
      <w:lvlText w:val=""/>
      <w:lvlJc w:val="left"/>
      <w:pPr>
        <w:tabs>
          <w:tab w:val="num" w:pos="2160"/>
        </w:tabs>
        <w:ind w:left="2160" w:hanging="360"/>
      </w:pPr>
      <w:rPr>
        <w:rFonts w:ascii="Wingdings" w:hAnsi="Wingdings" w:hint="default"/>
      </w:rPr>
    </w:lvl>
    <w:lvl w:ilvl="3" w:tplc="0BD0A4B0" w:tentative="1">
      <w:start w:val="1"/>
      <w:numFmt w:val="bullet"/>
      <w:lvlText w:val=""/>
      <w:lvlJc w:val="left"/>
      <w:pPr>
        <w:tabs>
          <w:tab w:val="num" w:pos="2880"/>
        </w:tabs>
        <w:ind w:left="2880" w:hanging="360"/>
      </w:pPr>
      <w:rPr>
        <w:rFonts w:ascii="Wingdings" w:hAnsi="Wingdings" w:hint="default"/>
      </w:rPr>
    </w:lvl>
    <w:lvl w:ilvl="4" w:tplc="7CCC0E82" w:tentative="1">
      <w:start w:val="1"/>
      <w:numFmt w:val="bullet"/>
      <w:lvlText w:val=""/>
      <w:lvlJc w:val="left"/>
      <w:pPr>
        <w:tabs>
          <w:tab w:val="num" w:pos="3600"/>
        </w:tabs>
        <w:ind w:left="3600" w:hanging="360"/>
      </w:pPr>
      <w:rPr>
        <w:rFonts w:ascii="Wingdings" w:hAnsi="Wingdings" w:hint="default"/>
      </w:rPr>
    </w:lvl>
    <w:lvl w:ilvl="5" w:tplc="FDA40078" w:tentative="1">
      <w:start w:val="1"/>
      <w:numFmt w:val="bullet"/>
      <w:lvlText w:val=""/>
      <w:lvlJc w:val="left"/>
      <w:pPr>
        <w:tabs>
          <w:tab w:val="num" w:pos="4320"/>
        </w:tabs>
        <w:ind w:left="4320" w:hanging="360"/>
      </w:pPr>
      <w:rPr>
        <w:rFonts w:ascii="Wingdings" w:hAnsi="Wingdings" w:hint="default"/>
      </w:rPr>
    </w:lvl>
    <w:lvl w:ilvl="6" w:tplc="4DF65890" w:tentative="1">
      <w:start w:val="1"/>
      <w:numFmt w:val="bullet"/>
      <w:lvlText w:val=""/>
      <w:lvlJc w:val="left"/>
      <w:pPr>
        <w:tabs>
          <w:tab w:val="num" w:pos="5040"/>
        </w:tabs>
        <w:ind w:left="5040" w:hanging="360"/>
      </w:pPr>
      <w:rPr>
        <w:rFonts w:ascii="Wingdings" w:hAnsi="Wingdings" w:hint="default"/>
      </w:rPr>
    </w:lvl>
    <w:lvl w:ilvl="7" w:tplc="E8C44F5E" w:tentative="1">
      <w:start w:val="1"/>
      <w:numFmt w:val="bullet"/>
      <w:lvlText w:val=""/>
      <w:lvlJc w:val="left"/>
      <w:pPr>
        <w:tabs>
          <w:tab w:val="num" w:pos="5760"/>
        </w:tabs>
        <w:ind w:left="5760" w:hanging="360"/>
      </w:pPr>
      <w:rPr>
        <w:rFonts w:ascii="Wingdings" w:hAnsi="Wingdings" w:hint="default"/>
      </w:rPr>
    </w:lvl>
    <w:lvl w:ilvl="8" w:tplc="5664A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5530A"/>
    <w:multiLevelType w:val="hybridMultilevel"/>
    <w:tmpl w:val="DFDA3C18"/>
    <w:lvl w:ilvl="0" w:tplc="C56AE68A">
      <w:start w:val="1"/>
      <w:numFmt w:val="bullet"/>
      <w:lvlText w:val="•"/>
      <w:lvlJc w:val="left"/>
      <w:pPr>
        <w:tabs>
          <w:tab w:val="num" w:pos="720"/>
        </w:tabs>
        <w:ind w:left="720" w:hanging="360"/>
      </w:pPr>
      <w:rPr>
        <w:rFonts w:ascii="Arial" w:hAnsi="Arial" w:hint="default"/>
      </w:rPr>
    </w:lvl>
    <w:lvl w:ilvl="1" w:tplc="C7D25B34" w:tentative="1">
      <w:start w:val="1"/>
      <w:numFmt w:val="bullet"/>
      <w:lvlText w:val="•"/>
      <w:lvlJc w:val="left"/>
      <w:pPr>
        <w:tabs>
          <w:tab w:val="num" w:pos="1440"/>
        </w:tabs>
        <w:ind w:left="1440" w:hanging="360"/>
      </w:pPr>
      <w:rPr>
        <w:rFonts w:ascii="Arial" w:hAnsi="Arial" w:hint="default"/>
      </w:rPr>
    </w:lvl>
    <w:lvl w:ilvl="2" w:tplc="53D0CBD8" w:tentative="1">
      <w:start w:val="1"/>
      <w:numFmt w:val="bullet"/>
      <w:lvlText w:val="•"/>
      <w:lvlJc w:val="left"/>
      <w:pPr>
        <w:tabs>
          <w:tab w:val="num" w:pos="2160"/>
        </w:tabs>
        <w:ind w:left="2160" w:hanging="360"/>
      </w:pPr>
      <w:rPr>
        <w:rFonts w:ascii="Arial" w:hAnsi="Arial" w:hint="default"/>
      </w:rPr>
    </w:lvl>
    <w:lvl w:ilvl="3" w:tplc="CF2C4DB2" w:tentative="1">
      <w:start w:val="1"/>
      <w:numFmt w:val="bullet"/>
      <w:lvlText w:val="•"/>
      <w:lvlJc w:val="left"/>
      <w:pPr>
        <w:tabs>
          <w:tab w:val="num" w:pos="2880"/>
        </w:tabs>
        <w:ind w:left="2880" w:hanging="360"/>
      </w:pPr>
      <w:rPr>
        <w:rFonts w:ascii="Arial" w:hAnsi="Arial" w:hint="default"/>
      </w:rPr>
    </w:lvl>
    <w:lvl w:ilvl="4" w:tplc="05641BB4" w:tentative="1">
      <w:start w:val="1"/>
      <w:numFmt w:val="bullet"/>
      <w:lvlText w:val="•"/>
      <w:lvlJc w:val="left"/>
      <w:pPr>
        <w:tabs>
          <w:tab w:val="num" w:pos="3600"/>
        </w:tabs>
        <w:ind w:left="3600" w:hanging="360"/>
      </w:pPr>
      <w:rPr>
        <w:rFonts w:ascii="Arial" w:hAnsi="Arial" w:hint="default"/>
      </w:rPr>
    </w:lvl>
    <w:lvl w:ilvl="5" w:tplc="187A7876" w:tentative="1">
      <w:start w:val="1"/>
      <w:numFmt w:val="bullet"/>
      <w:lvlText w:val="•"/>
      <w:lvlJc w:val="left"/>
      <w:pPr>
        <w:tabs>
          <w:tab w:val="num" w:pos="4320"/>
        </w:tabs>
        <w:ind w:left="4320" w:hanging="360"/>
      </w:pPr>
      <w:rPr>
        <w:rFonts w:ascii="Arial" w:hAnsi="Arial" w:hint="default"/>
      </w:rPr>
    </w:lvl>
    <w:lvl w:ilvl="6" w:tplc="B142D816" w:tentative="1">
      <w:start w:val="1"/>
      <w:numFmt w:val="bullet"/>
      <w:lvlText w:val="•"/>
      <w:lvlJc w:val="left"/>
      <w:pPr>
        <w:tabs>
          <w:tab w:val="num" w:pos="5040"/>
        </w:tabs>
        <w:ind w:left="5040" w:hanging="360"/>
      </w:pPr>
      <w:rPr>
        <w:rFonts w:ascii="Arial" w:hAnsi="Arial" w:hint="default"/>
      </w:rPr>
    </w:lvl>
    <w:lvl w:ilvl="7" w:tplc="4594C2EC" w:tentative="1">
      <w:start w:val="1"/>
      <w:numFmt w:val="bullet"/>
      <w:lvlText w:val="•"/>
      <w:lvlJc w:val="left"/>
      <w:pPr>
        <w:tabs>
          <w:tab w:val="num" w:pos="5760"/>
        </w:tabs>
        <w:ind w:left="5760" w:hanging="360"/>
      </w:pPr>
      <w:rPr>
        <w:rFonts w:ascii="Arial" w:hAnsi="Arial" w:hint="default"/>
      </w:rPr>
    </w:lvl>
    <w:lvl w:ilvl="8" w:tplc="5DA85D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D06397"/>
    <w:multiLevelType w:val="hybridMultilevel"/>
    <w:tmpl w:val="C38EAE4E"/>
    <w:lvl w:ilvl="0" w:tplc="863ADF42">
      <w:start w:val="1"/>
      <w:numFmt w:val="bullet"/>
      <w:lvlText w:val="•"/>
      <w:lvlJc w:val="left"/>
      <w:pPr>
        <w:tabs>
          <w:tab w:val="num" w:pos="720"/>
        </w:tabs>
        <w:ind w:left="720" w:hanging="360"/>
      </w:pPr>
      <w:rPr>
        <w:rFonts w:ascii="Arial" w:hAnsi="Arial" w:hint="default"/>
      </w:rPr>
    </w:lvl>
    <w:lvl w:ilvl="1" w:tplc="694E3E08" w:tentative="1">
      <w:start w:val="1"/>
      <w:numFmt w:val="bullet"/>
      <w:lvlText w:val="•"/>
      <w:lvlJc w:val="left"/>
      <w:pPr>
        <w:tabs>
          <w:tab w:val="num" w:pos="1440"/>
        </w:tabs>
        <w:ind w:left="1440" w:hanging="360"/>
      </w:pPr>
      <w:rPr>
        <w:rFonts w:ascii="Arial" w:hAnsi="Arial" w:hint="default"/>
      </w:rPr>
    </w:lvl>
    <w:lvl w:ilvl="2" w:tplc="10AA97A4" w:tentative="1">
      <w:start w:val="1"/>
      <w:numFmt w:val="bullet"/>
      <w:lvlText w:val="•"/>
      <w:lvlJc w:val="left"/>
      <w:pPr>
        <w:tabs>
          <w:tab w:val="num" w:pos="2160"/>
        </w:tabs>
        <w:ind w:left="2160" w:hanging="360"/>
      </w:pPr>
      <w:rPr>
        <w:rFonts w:ascii="Arial" w:hAnsi="Arial" w:hint="default"/>
      </w:rPr>
    </w:lvl>
    <w:lvl w:ilvl="3" w:tplc="FA36937A" w:tentative="1">
      <w:start w:val="1"/>
      <w:numFmt w:val="bullet"/>
      <w:lvlText w:val="•"/>
      <w:lvlJc w:val="left"/>
      <w:pPr>
        <w:tabs>
          <w:tab w:val="num" w:pos="2880"/>
        </w:tabs>
        <w:ind w:left="2880" w:hanging="360"/>
      </w:pPr>
      <w:rPr>
        <w:rFonts w:ascii="Arial" w:hAnsi="Arial" w:hint="default"/>
      </w:rPr>
    </w:lvl>
    <w:lvl w:ilvl="4" w:tplc="407C5740" w:tentative="1">
      <w:start w:val="1"/>
      <w:numFmt w:val="bullet"/>
      <w:lvlText w:val="•"/>
      <w:lvlJc w:val="left"/>
      <w:pPr>
        <w:tabs>
          <w:tab w:val="num" w:pos="3600"/>
        </w:tabs>
        <w:ind w:left="3600" w:hanging="360"/>
      </w:pPr>
      <w:rPr>
        <w:rFonts w:ascii="Arial" w:hAnsi="Arial" w:hint="default"/>
      </w:rPr>
    </w:lvl>
    <w:lvl w:ilvl="5" w:tplc="9E023E04" w:tentative="1">
      <w:start w:val="1"/>
      <w:numFmt w:val="bullet"/>
      <w:lvlText w:val="•"/>
      <w:lvlJc w:val="left"/>
      <w:pPr>
        <w:tabs>
          <w:tab w:val="num" w:pos="4320"/>
        </w:tabs>
        <w:ind w:left="4320" w:hanging="360"/>
      </w:pPr>
      <w:rPr>
        <w:rFonts w:ascii="Arial" w:hAnsi="Arial" w:hint="default"/>
      </w:rPr>
    </w:lvl>
    <w:lvl w:ilvl="6" w:tplc="6D62DAAA" w:tentative="1">
      <w:start w:val="1"/>
      <w:numFmt w:val="bullet"/>
      <w:lvlText w:val="•"/>
      <w:lvlJc w:val="left"/>
      <w:pPr>
        <w:tabs>
          <w:tab w:val="num" w:pos="5040"/>
        </w:tabs>
        <w:ind w:left="5040" w:hanging="360"/>
      </w:pPr>
      <w:rPr>
        <w:rFonts w:ascii="Arial" w:hAnsi="Arial" w:hint="default"/>
      </w:rPr>
    </w:lvl>
    <w:lvl w:ilvl="7" w:tplc="68C01188" w:tentative="1">
      <w:start w:val="1"/>
      <w:numFmt w:val="bullet"/>
      <w:lvlText w:val="•"/>
      <w:lvlJc w:val="left"/>
      <w:pPr>
        <w:tabs>
          <w:tab w:val="num" w:pos="5760"/>
        </w:tabs>
        <w:ind w:left="5760" w:hanging="360"/>
      </w:pPr>
      <w:rPr>
        <w:rFonts w:ascii="Arial" w:hAnsi="Arial" w:hint="default"/>
      </w:rPr>
    </w:lvl>
    <w:lvl w:ilvl="8" w:tplc="CAAE2A1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
  </w:num>
  <w:num w:numId="4">
    <w:abstractNumId w:val="8"/>
  </w:num>
  <w:num w:numId="5">
    <w:abstractNumId w:val="5"/>
  </w:num>
  <w:num w:numId="6">
    <w:abstractNumId w:val="6"/>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8"/>
    <w:rsid w:val="00112078"/>
    <w:rsid w:val="00236956"/>
    <w:rsid w:val="002411BB"/>
    <w:rsid w:val="00262962"/>
    <w:rsid w:val="002D5B60"/>
    <w:rsid w:val="0032040D"/>
    <w:rsid w:val="00335F1E"/>
    <w:rsid w:val="00345451"/>
    <w:rsid w:val="003E619B"/>
    <w:rsid w:val="00406213"/>
    <w:rsid w:val="0044478D"/>
    <w:rsid w:val="005215B8"/>
    <w:rsid w:val="00644B6C"/>
    <w:rsid w:val="006619F0"/>
    <w:rsid w:val="006E2858"/>
    <w:rsid w:val="007933EF"/>
    <w:rsid w:val="007A44E3"/>
    <w:rsid w:val="007F41D9"/>
    <w:rsid w:val="00800494"/>
    <w:rsid w:val="00894979"/>
    <w:rsid w:val="008C303F"/>
    <w:rsid w:val="009F348C"/>
    <w:rsid w:val="00BF75B0"/>
    <w:rsid w:val="00C235CB"/>
    <w:rsid w:val="00C724FE"/>
    <w:rsid w:val="00CB205E"/>
    <w:rsid w:val="00CD08D7"/>
    <w:rsid w:val="00CF3183"/>
    <w:rsid w:val="00D07EAB"/>
    <w:rsid w:val="00E00C74"/>
    <w:rsid w:val="00EE54DF"/>
    <w:rsid w:val="00F22A02"/>
    <w:rsid w:val="00F259CA"/>
    <w:rsid w:val="00F2628D"/>
    <w:rsid w:val="00F477FB"/>
    <w:rsid w:val="00FB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CFF1"/>
  <w15:chartTrackingRefBased/>
  <w15:docId w15:val="{6941244F-A0DF-4268-9BD5-09A78B8B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EAB"/>
    <w:rPr>
      <w:sz w:val="16"/>
      <w:szCs w:val="16"/>
    </w:rPr>
  </w:style>
  <w:style w:type="paragraph" w:styleId="CommentText">
    <w:name w:val="annotation text"/>
    <w:basedOn w:val="Normal"/>
    <w:link w:val="CommentTextChar"/>
    <w:uiPriority w:val="99"/>
    <w:semiHidden/>
    <w:unhideWhenUsed/>
    <w:rsid w:val="00D07EAB"/>
    <w:pPr>
      <w:spacing w:line="240" w:lineRule="auto"/>
    </w:pPr>
    <w:rPr>
      <w:sz w:val="20"/>
      <w:szCs w:val="20"/>
    </w:rPr>
  </w:style>
  <w:style w:type="character" w:customStyle="1" w:styleId="CommentTextChar">
    <w:name w:val="Comment Text Char"/>
    <w:basedOn w:val="DefaultParagraphFont"/>
    <w:link w:val="CommentText"/>
    <w:uiPriority w:val="99"/>
    <w:semiHidden/>
    <w:rsid w:val="00D07EAB"/>
    <w:rPr>
      <w:sz w:val="20"/>
      <w:szCs w:val="20"/>
    </w:rPr>
  </w:style>
  <w:style w:type="paragraph" w:styleId="CommentSubject">
    <w:name w:val="annotation subject"/>
    <w:basedOn w:val="CommentText"/>
    <w:next w:val="CommentText"/>
    <w:link w:val="CommentSubjectChar"/>
    <w:uiPriority w:val="99"/>
    <w:semiHidden/>
    <w:unhideWhenUsed/>
    <w:rsid w:val="00D07EAB"/>
    <w:rPr>
      <w:b/>
      <w:bCs/>
    </w:rPr>
  </w:style>
  <w:style w:type="character" w:customStyle="1" w:styleId="CommentSubjectChar">
    <w:name w:val="Comment Subject Char"/>
    <w:basedOn w:val="CommentTextChar"/>
    <w:link w:val="CommentSubject"/>
    <w:uiPriority w:val="99"/>
    <w:semiHidden/>
    <w:rsid w:val="00D07EAB"/>
    <w:rPr>
      <w:b/>
      <w:bCs/>
      <w:sz w:val="20"/>
      <w:szCs w:val="20"/>
    </w:rPr>
  </w:style>
  <w:style w:type="paragraph" w:styleId="BalloonText">
    <w:name w:val="Balloon Text"/>
    <w:basedOn w:val="Normal"/>
    <w:link w:val="BalloonTextChar"/>
    <w:uiPriority w:val="99"/>
    <w:semiHidden/>
    <w:unhideWhenUsed/>
    <w:rsid w:val="00D07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AB"/>
    <w:rPr>
      <w:rFonts w:ascii="Segoe UI" w:hAnsi="Segoe UI" w:cs="Segoe UI"/>
      <w:sz w:val="18"/>
      <w:szCs w:val="18"/>
    </w:rPr>
  </w:style>
  <w:style w:type="paragraph" w:styleId="ListParagraph">
    <w:name w:val="List Paragraph"/>
    <w:basedOn w:val="Normal"/>
    <w:uiPriority w:val="34"/>
    <w:qFormat/>
    <w:rsid w:val="00C235CB"/>
    <w:pPr>
      <w:ind w:left="720"/>
      <w:contextualSpacing/>
    </w:pPr>
  </w:style>
  <w:style w:type="paragraph" w:customStyle="1" w:styleId="Default">
    <w:name w:val="Default"/>
    <w:rsid w:val="0026296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13675">
      <w:bodyDiv w:val="1"/>
      <w:marLeft w:val="0"/>
      <w:marRight w:val="0"/>
      <w:marTop w:val="0"/>
      <w:marBottom w:val="0"/>
      <w:divBdr>
        <w:top w:val="none" w:sz="0" w:space="0" w:color="auto"/>
        <w:left w:val="none" w:sz="0" w:space="0" w:color="auto"/>
        <w:bottom w:val="none" w:sz="0" w:space="0" w:color="auto"/>
        <w:right w:val="none" w:sz="0" w:space="0" w:color="auto"/>
      </w:divBdr>
    </w:div>
    <w:div w:id="477764399">
      <w:bodyDiv w:val="1"/>
      <w:marLeft w:val="0"/>
      <w:marRight w:val="0"/>
      <w:marTop w:val="0"/>
      <w:marBottom w:val="0"/>
      <w:divBdr>
        <w:top w:val="none" w:sz="0" w:space="0" w:color="auto"/>
        <w:left w:val="none" w:sz="0" w:space="0" w:color="auto"/>
        <w:bottom w:val="none" w:sz="0" w:space="0" w:color="auto"/>
        <w:right w:val="none" w:sz="0" w:space="0" w:color="auto"/>
      </w:divBdr>
      <w:divsChild>
        <w:div w:id="1157114941">
          <w:marLeft w:val="547"/>
          <w:marRight w:val="0"/>
          <w:marTop w:val="120"/>
          <w:marBottom w:val="0"/>
          <w:divBdr>
            <w:top w:val="none" w:sz="0" w:space="0" w:color="auto"/>
            <w:left w:val="none" w:sz="0" w:space="0" w:color="auto"/>
            <w:bottom w:val="none" w:sz="0" w:space="0" w:color="auto"/>
            <w:right w:val="none" w:sz="0" w:space="0" w:color="auto"/>
          </w:divBdr>
        </w:div>
        <w:div w:id="101001900">
          <w:marLeft w:val="547"/>
          <w:marRight w:val="0"/>
          <w:marTop w:val="120"/>
          <w:marBottom w:val="0"/>
          <w:divBdr>
            <w:top w:val="none" w:sz="0" w:space="0" w:color="auto"/>
            <w:left w:val="none" w:sz="0" w:space="0" w:color="auto"/>
            <w:bottom w:val="none" w:sz="0" w:space="0" w:color="auto"/>
            <w:right w:val="none" w:sz="0" w:space="0" w:color="auto"/>
          </w:divBdr>
        </w:div>
        <w:div w:id="109402015">
          <w:marLeft w:val="547"/>
          <w:marRight w:val="0"/>
          <w:marTop w:val="120"/>
          <w:marBottom w:val="0"/>
          <w:divBdr>
            <w:top w:val="none" w:sz="0" w:space="0" w:color="auto"/>
            <w:left w:val="none" w:sz="0" w:space="0" w:color="auto"/>
            <w:bottom w:val="none" w:sz="0" w:space="0" w:color="auto"/>
            <w:right w:val="none" w:sz="0" w:space="0" w:color="auto"/>
          </w:divBdr>
        </w:div>
        <w:div w:id="332610856">
          <w:marLeft w:val="547"/>
          <w:marRight w:val="0"/>
          <w:marTop w:val="120"/>
          <w:marBottom w:val="0"/>
          <w:divBdr>
            <w:top w:val="none" w:sz="0" w:space="0" w:color="auto"/>
            <w:left w:val="none" w:sz="0" w:space="0" w:color="auto"/>
            <w:bottom w:val="none" w:sz="0" w:space="0" w:color="auto"/>
            <w:right w:val="none" w:sz="0" w:space="0" w:color="auto"/>
          </w:divBdr>
        </w:div>
        <w:div w:id="1575704206">
          <w:marLeft w:val="547"/>
          <w:marRight w:val="0"/>
          <w:marTop w:val="120"/>
          <w:marBottom w:val="0"/>
          <w:divBdr>
            <w:top w:val="none" w:sz="0" w:space="0" w:color="auto"/>
            <w:left w:val="none" w:sz="0" w:space="0" w:color="auto"/>
            <w:bottom w:val="none" w:sz="0" w:space="0" w:color="auto"/>
            <w:right w:val="none" w:sz="0" w:space="0" w:color="auto"/>
          </w:divBdr>
        </w:div>
      </w:divsChild>
    </w:div>
    <w:div w:id="595556556">
      <w:bodyDiv w:val="1"/>
      <w:marLeft w:val="0"/>
      <w:marRight w:val="0"/>
      <w:marTop w:val="0"/>
      <w:marBottom w:val="0"/>
      <w:divBdr>
        <w:top w:val="none" w:sz="0" w:space="0" w:color="auto"/>
        <w:left w:val="none" w:sz="0" w:space="0" w:color="auto"/>
        <w:bottom w:val="none" w:sz="0" w:space="0" w:color="auto"/>
        <w:right w:val="none" w:sz="0" w:space="0" w:color="auto"/>
      </w:divBdr>
      <w:divsChild>
        <w:div w:id="661354117">
          <w:marLeft w:val="547"/>
          <w:marRight w:val="0"/>
          <w:marTop w:val="0"/>
          <w:marBottom w:val="0"/>
          <w:divBdr>
            <w:top w:val="none" w:sz="0" w:space="0" w:color="auto"/>
            <w:left w:val="none" w:sz="0" w:space="0" w:color="auto"/>
            <w:bottom w:val="none" w:sz="0" w:space="0" w:color="auto"/>
            <w:right w:val="none" w:sz="0" w:space="0" w:color="auto"/>
          </w:divBdr>
        </w:div>
        <w:div w:id="2017420901">
          <w:marLeft w:val="547"/>
          <w:marRight w:val="0"/>
          <w:marTop w:val="0"/>
          <w:marBottom w:val="0"/>
          <w:divBdr>
            <w:top w:val="none" w:sz="0" w:space="0" w:color="auto"/>
            <w:left w:val="none" w:sz="0" w:space="0" w:color="auto"/>
            <w:bottom w:val="none" w:sz="0" w:space="0" w:color="auto"/>
            <w:right w:val="none" w:sz="0" w:space="0" w:color="auto"/>
          </w:divBdr>
        </w:div>
        <w:div w:id="817573824">
          <w:marLeft w:val="547"/>
          <w:marRight w:val="0"/>
          <w:marTop w:val="0"/>
          <w:marBottom w:val="0"/>
          <w:divBdr>
            <w:top w:val="none" w:sz="0" w:space="0" w:color="auto"/>
            <w:left w:val="none" w:sz="0" w:space="0" w:color="auto"/>
            <w:bottom w:val="none" w:sz="0" w:space="0" w:color="auto"/>
            <w:right w:val="none" w:sz="0" w:space="0" w:color="auto"/>
          </w:divBdr>
        </w:div>
        <w:div w:id="856698012">
          <w:marLeft w:val="547"/>
          <w:marRight w:val="0"/>
          <w:marTop w:val="0"/>
          <w:marBottom w:val="0"/>
          <w:divBdr>
            <w:top w:val="none" w:sz="0" w:space="0" w:color="auto"/>
            <w:left w:val="none" w:sz="0" w:space="0" w:color="auto"/>
            <w:bottom w:val="none" w:sz="0" w:space="0" w:color="auto"/>
            <w:right w:val="none" w:sz="0" w:space="0" w:color="auto"/>
          </w:divBdr>
        </w:div>
        <w:div w:id="104740866">
          <w:marLeft w:val="547"/>
          <w:marRight w:val="0"/>
          <w:marTop w:val="0"/>
          <w:marBottom w:val="0"/>
          <w:divBdr>
            <w:top w:val="none" w:sz="0" w:space="0" w:color="auto"/>
            <w:left w:val="none" w:sz="0" w:space="0" w:color="auto"/>
            <w:bottom w:val="none" w:sz="0" w:space="0" w:color="auto"/>
            <w:right w:val="none" w:sz="0" w:space="0" w:color="auto"/>
          </w:divBdr>
        </w:div>
        <w:div w:id="693993269">
          <w:marLeft w:val="547"/>
          <w:marRight w:val="0"/>
          <w:marTop w:val="0"/>
          <w:marBottom w:val="0"/>
          <w:divBdr>
            <w:top w:val="none" w:sz="0" w:space="0" w:color="auto"/>
            <w:left w:val="none" w:sz="0" w:space="0" w:color="auto"/>
            <w:bottom w:val="none" w:sz="0" w:space="0" w:color="auto"/>
            <w:right w:val="none" w:sz="0" w:space="0" w:color="auto"/>
          </w:divBdr>
        </w:div>
        <w:div w:id="791366742">
          <w:marLeft w:val="547"/>
          <w:marRight w:val="0"/>
          <w:marTop w:val="0"/>
          <w:marBottom w:val="0"/>
          <w:divBdr>
            <w:top w:val="none" w:sz="0" w:space="0" w:color="auto"/>
            <w:left w:val="none" w:sz="0" w:space="0" w:color="auto"/>
            <w:bottom w:val="none" w:sz="0" w:space="0" w:color="auto"/>
            <w:right w:val="none" w:sz="0" w:space="0" w:color="auto"/>
          </w:divBdr>
        </w:div>
        <w:div w:id="1518693324">
          <w:marLeft w:val="547"/>
          <w:marRight w:val="0"/>
          <w:marTop w:val="0"/>
          <w:marBottom w:val="0"/>
          <w:divBdr>
            <w:top w:val="none" w:sz="0" w:space="0" w:color="auto"/>
            <w:left w:val="none" w:sz="0" w:space="0" w:color="auto"/>
            <w:bottom w:val="none" w:sz="0" w:space="0" w:color="auto"/>
            <w:right w:val="none" w:sz="0" w:space="0" w:color="auto"/>
          </w:divBdr>
        </w:div>
      </w:divsChild>
    </w:div>
    <w:div w:id="614290620">
      <w:bodyDiv w:val="1"/>
      <w:marLeft w:val="0"/>
      <w:marRight w:val="0"/>
      <w:marTop w:val="0"/>
      <w:marBottom w:val="0"/>
      <w:divBdr>
        <w:top w:val="none" w:sz="0" w:space="0" w:color="auto"/>
        <w:left w:val="none" w:sz="0" w:space="0" w:color="auto"/>
        <w:bottom w:val="none" w:sz="0" w:space="0" w:color="auto"/>
        <w:right w:val="none" w:sz="0" w:space="0" w:color="auto"/>
      </w:divBdr>
      <w:divsChild>
        <w:div w:id="1686979924">
          <w:marLeft w:val="446"/>
          <w:marRight w:val="0"/>
          <w:marTop w:val="0"/>
          <w:marBottom w:val="0"/>
          <w:divBdr>
            <w:top w:val="none" w:sz="0" w:space="0" w:color="auto"/>
            <w:left w:val="none" w:sz="0" w:space="0" w:color="auto"/>
            <w:bottom w:val="none" w:sz="0" w:space="0" w:color="auto"/>
            <w:right w:val="none" w:sz="0" w:space="0" w:color="auto"/>
          </w:divBdr>
        </w:div>
        <w:div w:id="1409419722">
          <w:marLeft w:val="446"/>
          <w:marRight w:val="0"/>
          <w:marTop w:val="0"/>
          <w:marBottom w:val="0"/>
          <w:divBdr>
            <w:top w:val="none" w:sz="0" w:space="0" w:color="auto"/>
            <w:left w:val="none" w:sz="0" w:space="0" w:color="auto"/>
            <w:bottom w:val="none" w:sz="0" w:space="0" w:color="auto"/>
            <w:right w:val="none" w:sz="0" w:space="0" w:color="auto"/>
          </w:divBdr>
        </w:div>
        <w:div w:id="1473138721">
          <w:marLeft w:val="446"/>
          <w:marRight w:val="0"/>
          <w:marTop w:val="0"/>
          <w:marBottom w:val="0"/>
          <w:divBdr>
            <w:top w:val="none" w:sz="0" w:space="0" w:color="auto"/>
            <w:left w:val="none" w:sz="0" w:space="0" w:color="auto"/>
            <w:bottom w:val="none" w:sz="0" w:space="0" w:color="auto"/>
            <w:right w:val="none" w:sz="0" w:space="0" w:color="auto"/>
          </w:divBdr>
        </w:div>
        <w:div w:id="1682466885">
          <w:marLeft w:val="446"/>
          <w:marRight w:val="0"/>
          <w:marTop w:val="0"/>
          <w:marBottom w:val="0"/>
          <w:divBdr>
            <w:top w:val="none" w:sz="0" w:space="0" w:color="auto"/>
            <w:left w:val="none" w:sz="0" w:space="0" w:color="auto"/>
            <w:bottom w:val="none" w:sz="0" w:space="0" w:color="auto"/>
            <w:right w:val="none" w:sz="0" w:space="0" w:color="auto"/>
          </w:divBdr>
        </w:div>
        <w:div w:id="1510481050">
          <w:marLeft w:val="446"/>
          <w:marRight w:val="0"/>
          <w:marTop w:val="0"/>
          <w:marBottom w:val="0"/>
          <w:divBdr>
            <w:top w:val="none" w:sz="0" w:space="0" w:color="auto"/>
            <w:left w:val="none" w:sz="0" w:space="0" w:color="auto"/>
            <w:bottom w:val="none" w:sz="0" w:space="0" w:color="auto"/>
            <w:right w:val="none" w:sz="0" w:space="0" w:color="auto"/>
          </w:divBdr>
        </w:div>
        <w:div w:id="554508671">
          <w:marLeft w:val="446"/>
          <w:marRight w:val="0"/>
          <w:marTop w:val="0"/>
          <w:marBottom w:val="0"/>
          <w:divBdr>
            <w:top w:val="none" w:sz="0" w:space="0" w:color="auto"/>
            <w:left w:val="none" w:sz="0" w:space="0" w:color="auto"/>
            <w:bottom w:val="none" w:sz="0" w:space="0" w:color="auto"/>
            <w:right w:val="none" w:sz="0" w:space="0" w:color="auto"/>
          </w:divBdr>
        </w:div>
      </w:divsChild>
    </w:div>
    <w:div w:id="1857188139">
      <w:bodyDiv w:val="1"/>
      <w:marLeft w:val="0"/>
      <w:marRight w:val="0"/>
      <w:marTop w:val="0"/>
      <w:marBottom w:val="0"/>
      <w:divBdr>
        <w:top w:val="none" w:sz="0" w:space="0" w:color="auto"/>
        <w:left w:val="none" w:sz="0" w:space="0" w:color="auto"/>
        <w:bottom w:val="none" w:sz="0" w:space="0" w:color="auto"/>
        <w:right w:val="none" w:sz="0" w:space="0" w:color="auto"/>
      </w:divBdr>
    </w:div>
    <w:div w:id="2017269708">
      <w:bodyDiv w:val="1"/>
      <w:marLeft w:val="0"/>
      <w:marRight w:val="0"/>
      <w:marTop w:val="0"/>
      <w:marBottom w:val="0"/>
      <w:divBdr>
        <w:top w:val="none" w:sz="0" w:space="0" w:color="auto"/>
        <w:left w:val="none" w:sz="0" w:space="0" w:color="auto"/>
        <w:bottom w:val="none" w:sz="0" w:space="0" w:color="auto"/>
        <w:right w:val="none" w:sz="0" w:space="0" w:color="auto"/>
      </w:divBdr>
      <w:divsChild>
        <w:div w:id="589200209">
          <w:marLeft w:val="547"/>
          <w:marRight w:val="0"/>
          <w:marTop w:val="0"/>
          <w:marBottom w:val="0"/>
          <w:divBdr>
            <w:top w:val="none" w:sz="0" w:space="0" w:color="auto"/>
            <w:left w:val="none" w:sz="0" w:space="0" w:color="auto"/>
            <w:bottom w:val="none" w:sz="0" w:space="0" w:color="auto"/>
            <w:right w:val="none" w:sz="0" w:space="0" w:color="auto"/>
          </w:divBdr>
        </w:div>
        <w:div w:id="839782205">
          <w:marLeft w:val="547"/>
          <w:marRight w:val="0"/>
          <w:marTop w:val="0"/>
          <w:marBottom w:val="0"/>
          <w:divBdr>
            <w:top w:val="none" w:sz="0" w:space="0" w:color="auto"/>
            <w:left w:val="none" w:sz="0" w:space="0" w:color="auto"/>
            <w:bottom w:val="none" w:sz="0" w:space="0" w:color="auto"/>
            <w:right w:val="none" w:sz="0" w:space="0" w:color="auto"/>
          </w:divBdr>
        </w:div>
        <w:div w:id="1808088684">
          <w:marLeft w:val="547"/>
          <w:marRight w:val="0"/>
          <w:marTop w:val="0"/>
          <w:marBottom w:val="0"/>
          <w:divBdr>
            <w:top w:val="none" w:sz="0" w:space="0" w:color="auto"/>
            <w:left w:val="none" w:sz="0" w:space="0" w:color="auto"/>
            <w:bottom w:val="none" w:sz="0" w:space="0" w:color="auto"/>
            <w:right w:val="none" w:sz="0" w:space="0" w:color="auto"/>
          </w:divBdr>
        </w:div>
        <w:div w:id="1643150580">
          <w:marLeft w:val="547"/>
          <w:marRight w:val="0"/>
          <w:marTop w:val="0"/>
          <w:marBottom w:val="0"/>
          <w:divBdr>
            <w:top w:val="none" w:sz="0" w:space="0" w:color="auto"/>
            <w:left w:val="none" w:sz="0" w:space="0" w:color="auto"/>
            <w:bottom w:val="none" w:sz="0" w:space="0" w:color="auto"/>
            <w:right w:val="none" w:sz="0" w:space="0" w:color="auto"/>
          </w:divBdr>
        </w:div>
        <w:div w:id="1819299908">
          <w:marLeft w:val="547"/>
          <w:marRight w:val="0"/>
          <w:marTop w:val="0"/>
          <w:marBottom w:val="0"/>
          <w:divBdr>
            <w:top w:val="none" w:sz="0" w:space="0" w:color="auto"/>
            <w:left w:val="none" w:sz="0" w:space="0" w:color="auto"/>
            <w:bottom w:val="none" w:sz="0" w:space="0" w:color="auto"/>
            <w:right w:val="none" w:sz="0" w:space="0" w:color="auto"/>
          </w:divBdr>
        </w:div>
        <w:div w:id="402484485">
          <w:marLeft w:val="547"/>
          <w:marRight w:val="0"/>
          <w:marTop w:val="0"/>
          <w:marBottom w:val="0"/>
          <w:divBdr>
            <w:top w:val="none" w:sz="0" w:space="0" w:color="auto"/>
            <w:left w:val="none" w:sz="0" w:space="0" w:color="auto"/>
            <w:bottom w:val="none" w:sz="0" w:space="0" w:color="auto"/>
            <w:right w:val="none" w:sz="0" w:space="0" w:color="auto"/>
          </w:divBdr>
        </w:div>
        <w:div w:id="1887137747">
          <w:marLeft w:val="547"/>
          <w:marRight w:val="0"/>
          <w:marTop w:val="0"/>
          <w:marBottom w:val="0"/>
          <w:divBdr>
            <w:top w:val="none" w:sz="0" w:space="0" w:color="auto"/>
            <w:left w:val="none" w:sz="0" w:space="0" w:color="auto"/>
            <w:bottom w:val="none" w:sz="0" w:space="0" w:color="auto"/>
            <w:right w:val="none" w:sz="0" w:space="0" w:color="auto"/>
          </w:divBdr>
        </w:div>
        <w:div w:id="408234133">
          <w:marLeft w:val="547"/>
          <w:marRight w:val="0"/>
          <w:marTop w:val="0"/>
          <w:marBottom w:val="0"/>
          <w:divBdr>
            <w:top w:val="none" w:sz="0" w:space="0" w:color="auto"/>
            <w:left w:val="none" w:sz="0" w:space="0" w:color="auto"/>
            <w:bottom w:val="none" w:sz="0" w:space="0" w:color="auto"/>
            <w:right w:val="none" w:sz="0" w:space="0" w:color="auto"/>
          </w:divBdr>
        </w:div>
      </w:divsChild>
    </w:div>
    <w:div w:id="2089158090">
      <w:bodyDiv w:val="1"/>
      <w:marLeft w:val="0"/>
      <w:marRight w:val="0"/>
      <w:marTop w:val="0"/>
      <w:marBottom w:val="0"/>
      <w:divBdr>
        <w:top w:val="none" w:sz="0" w:space="0" w:color="auto"/>
        <w:left w:val="none" w:sz="0" w:space="0" w:color="auto"/>
        <w:bottom w:val="none" w:sz="0" w:space="0" w:color="auto"/>
        <w:right w:val="none" w:sz="0" w:space="0" w:color="auto"/>
      </w:divBdr>
      <w:divsChild>
        <w:div w:id="757168922">
          <w:marLeft w:val="547"/>
          <w:marRight w:val="0"/>
          <w:marTop w:val="0"/>
          <w:marBottom w:val="0"/>
          <w:divBdr>
            <w:top w:val="none" w:sz="0" w:space="0" w:color="auto"/>
            <w:left w:val="none" w:sz="0" w:space="0" w:color="auto"/>
            <w:bottom w:val="none" w:sz="0" w:space="0" w:color="auto"/>
            <w:right w:val="none" w:sz="0" w:space="0" w:color="auto"/>
          </w:divBdr>
        </w:div>
        <w:div w:id="1284923490">
          <w:marLeft w:val="547"/>
          <w:marRight w:val="0"/>
          <w:marTop w:val="0"/>
          <w:marBottom w:val="0"/>
          <w:divBdr>
            <w:top w:val="none" w:sz="0" w:space="0" w:color="auto"/>
            <w:left w:val="none" w:sz="0" w:space="0" w:color="auto"/>
            <w:bottom w:val="none" w:sz="0" w:space="0" w:color="auto"/>
            <w:right w:val="none" w:sz="0" w:space="0" w:color="auto"/>
          </w:divBdr>
        </w:div>
        <w:div w:id="569534466">
          <w:marLeft w:val="547"/>
          <w:marRight w:val="0"/>
          <w:marTop w:val="0"/>
          <w:marBottom w:val="0"/>
          <w:divBdr>
            <w:top w:val="none" w:sz="0" w:space="0" w:color="auto"/>
            <w:left w:val="none" w:sz="0" w:space="0" w:color="auto"/>
            <w:bottom w:val="none" w:sz="0" w:space="0" w:color="auto"/>
            <w:right w:val="none" w:sz="0" w:space="0" w:color="auto"/>
          </w:divBdr>
        </w:div>
        <w:div w:id="1459108272">
          <w:marLeft w:val="547"/>
          <w:marRight w:val="0"/>
          <w:marTop w:val="0"/>
          <w:marBottom w:val="0"/>
          <w:divBdr>
            <w:top w:val="none" w:sz="0" w:space="0" w:color="auto"/>
            <w:left w:val="none" w:sz="0" w:space="0" w:color="auto"/>
            <w:bottom w:val="none" w:sz="0" w:space="0" w:color="auto"/>
            <w:right w:val="none" w:sz="0" w:space="0" w:color="auto"/>
          </w:divBdr>
        </w:div>
        <w:div w:id="1027802413">
          <w:marLeft w:val="547"/>
          <w:marRight w:val="0"/>
          <w:marTop w:val="0"/>
          <w:marBottom w:val="0"/>
          <w:divBdr>
            <w:top w:val="none" w:sz="0" w:space="0" w:color="auto"/>
            <w:left w:val="none" w:sz="0" w:space="0" w:color="auto"/>
            <w:bottom w:val="none" w:sz="0" w:space="0" w:color="auto"/>
            <w:right w:val="none" w:sz="0" w:space="0" w:color="auto"/>
          </w:divBdr>
        </w:div>
        <w:div w:id="2012105112">
          <w:marLeft w:val="547"/>
          <w:marRight w:val="0"/>
          <w:marTop w:val="0"/>
          <w:marBottom w:val="0"/>
          <w:divBdr>
            <w:top w:val="none" w:sz="0" w:space="0" w:color="auto"/>
            <w:left w:val="none" w:sz="0" w:space="0" w:color="auto"/>
            <w:bottom w:val="none" w:sz="0" w:space="0" w:color="auto"/>
            <w:right w:val="none" w:sz="0" w:space="0" w:color="auto"/>
          </w:divBdr>
        </w:div>
        <w:div w:id="147332895">
          <w:marLeft w:val="547"/>
          <w:marRight w:val="0"/>
          <w:marTop w:val="0"/>
          <w:marBottom w:val="0"/>
          <w:divBdr>
            <w:top w:val="none" w:sz="0" w:space="0" w:color="auto"/>
            <w:left w:val="none" w:sz="0" w:space="0" w:color="auto"/>
            <w:bottom w:val="none" w:sz="0" w:space="0" w:color="auto"/>
            <w:right w:val="none" w:sz="0" w:space="0" w:color="auto"/>
          </w:divBdr>
        </w:div>
        <w:div w:id="15930061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D8469CBE57A459CB6DD0C382948B5" ma:contentTypeVersion="8" ma:contentTypeDescription="Create a new document." ma:contentTypeScope="" ma:versionID="1cd5d7e6eb65923ee69b0b36dcd51b75">
  <xsd:schema xmlns:xsd="http://www.w3.org/2001/XMLSchema" xmlns:xs="http://www.w3.org/2001/XMLSchema" xmlns:p="http://schemas.microsoft.com/office/2006/metadata/properties" xmlns:ns2="11cf9fb4-8ef3-4232-8e3d-92a910efd01b" xmlns:ns3="0f7088d2-0351-4312-86f9-bb7557d72d6b" targetNamespace="http://schemas.microsoft.com/office/2006/metadata/properties" ma:root="true" ma:fieldsID="8ec486d21a0af762bc88db7113737615" ns2:_="" ns3:_="">
    <xsd:import namespace="11cf9fb4-8ef3-4232-8e3d-92a910efd01b"/>
    <xsd:import namespace="0f7088d2-0351-4312-86f9-bb7557d72d6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f9fb4-8ef3-4232-8e3d-92a910efd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088d2-0351-4312-86f9-bb7557d72d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E3700-363C-4AB1-81F3-0E9EB0104E1F}"/>
</file>

<file path=customXml/itemProps2.xml><?xml version="1.0" encoding="utf-8"?>
<ds:datastoreItem xmlns:ds="http://schemas.openxmlformats.org/officeDocument/2006/customXml" ds:itemID="{1A0F25DA-00D3-4557-BEF8-73ED6A5E0001}"/>
</file>

<file path=customXml/itemProps3.xml><?xml version="1.0" encoding="utf-8"?>
<ds:datastoreItem xmlns:ds="http://schemas.openxmlformats.org/officeDocument/2006/customXml" ds:itemID="{1F706DA6-267A-43EB-8527-B8ACA3ECBEE2}"/>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dc:creator>
  <cp:keywords/>
  <dc:description/>
  <cp:lastModifiedBy>adele baumgardt</cp:lastModifiedBy>
  <cp:revision>3</cp:revision>
  <cp:lastPrinted>2016-08-05T07:25:00Z</cp:lastPrinted>
  <dcterms:created xsi:type="dcterms:W3CDTF">2016-12-02T11:18:00Z</dcterms:created>
  <dcterms:modified xsi:type="dcterms:W3CDTF">2016-12-02T11:21:00Z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0x010100CE2D8469CBE57A459CB6DD0C382948B5</vt:lpwstr>
  </property>
</Properties>
</file>